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61" w:rsidRPr="00FF51F7" w:rsidRDefault="00FF51F7" w:rsidP="00FF51F7">
      <w:pPr>
        <w:spacing w:after="0"/>
        <w:rPr>
          <w:rFonts w:ascii="Times New Roman" w:hAnsi="Times New Roman" w:cs="Times New Roman"/>
          <w:b/>
          <w:sz w:val="24"/>
          <w:szCs w:val="24"/>
        </w:rPr>
      </w:pPr>
      <w:r w:rsidRPr="00FF51F7">
        <w:rPr>
          <w:rFonts w:ascii="Times New Roman" w:hAnsi="Times New Roman" w:cs="Times New Roman"/>
          <w:b/>
          <w:sz w:val="24"/>
          <w:szCs w:val="24"/>
        </w:rPr>
        <w:t>Twelfth Century Clerical Celibacy</w:t>
      </w:r>
    </w:p>
    <w:p w:rsidR="00FF51F7" w:rsidRPr="00FF51F7" w:rsidRDefault="00FF51F7" w:rsidP="00FF51F7">
      <w:pPr>
        <w:spacing w:after="0"/>
        <w:rPr>
          <w:rFonts w:ascii="Times New Roman" w:hAnsi="Times New Roman" w:cs="Times New Roman"/>
          <w:sz w:val="24"/>
          <w:szCs w:val="24"/>
        </w:rPr>
      </w:pP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The starting point for my MA dissertation was the declaration by the abbess of the convent of the </w:t>
      </w:r>
      <w:proofErr w:type="spellStart"/>
      <w:r w:rsidRPr="00612244">
        <w:rPr>
          <w:rFonts w:ascii="Times New Roman" w:hAnsi="Times New Roman"/>
          <w:sz w:val="24"/>
          <w:szCs w:val="24"/>
        </w:rPr>
        <w:t>Paraclete</w:t>
      </w:r>
      <w:proofErr w:type="spellEnd"/>
      <w:r w:rsidRPr="00612244">
        <w:rPr>
          <w:rFonts w:ascii="Times New Roman" w:hAnsi="Times New Roman"/>
          <w:sz w:val="24"/>
          <w:szCs w:val="24"/>
        </w:rPr>
        <w:t xml:space="preserve"> that she preferred to be ‘whore’ than ‘wife’, a statement that illustrated how little I understood medieval clerical relationships. </w:t>
      </w:r>
      <w:r>
        <w:rPr>
          <w:rFonts w:ascii="Times New Roman" w:hAnsi="Times New Roman"/>
          <w:sz w:val="24"/>
          <w:szCs w:val="24"/>
        </w:rPr>
        <w:t xml:space="preserve">This simple quote led me to the </w:t>
      </w:r>
      <w:r w:rsidRPr="00612244">
        <w:rPr>
          <w:rFonts w:ascii="Times New Roman" w:hAnsi="Times New Roman"/>
          <w:sz w:val="24"/>
          <w:szCs w:val="24"/>
        </w:rPr>
        <w:t xml:space="preserve">600 year journey of the church as it defined what was meant by </w:t>
      </w:r>
      <w:r w:rsidR="00F07E44">
        <w:rPr>
          <w:rFonts w:ascii="Times New Roman" w:hAnsi="Times New Roman"/>
          <w:sz w:val="24"/>
          <w:szCs w:val="24"/>
        </w:rPr>
        <w:t xml:space="preserve">a </w:t>
      </w:r>
      <w:r w:rsidRPr="00612244">
        <w:rPr>
          <w:rFonts w:ascii="Times New Roman" w:hAnsi="Times New Roman"/>
          <w:sz w:val="24"/>
          <w:szCs w:val="24"/>
        </w:rPr>
        <w:t xml:space="preserve">Christian marriage. </w:t>
      </w:r>
      <w:r w:rsidR="00F07E44">
        <w:rPr>
          <w:rFonts w:ascii="Times New Roman" w:hAnsi="Times New Roman"/>
          <w:sz w:val="24"/>
          <w:szCs w:val="24"/>
        </w:rPr>
        <w:t>That was complicated enough, but t</w:t>
      </w:r>
      <w:r w:rsidRPr="00612244">
        <w:rPr>
          <w:rFonts w:ascii="Times New Roman" w:hAnsi="Times New Roman"/>
          <w:sz w:val="24"/>
          <w:szCs w:val="24"/>
        </w:rPr>
        <w:t>he position f</w:t>
      </w:r>
      <w:r w:rsidR="00F07E44">
        <w:rPr>
          <w:rFonts w:ascii="Times New Roman" w:hAnsi="Times New Roman"/>
          <w:sz w:val="24"/>
          <w:szCs w:val="24"/>
        </w:rPr>
        <w:t>or Heloise and Abelard</w:t>
      </w:r>
      <w:r w:rsidRPr="00612244">
        <w:rPr>
          <w:rFonts w:ascii="Times New Roman" w:hAnsi="Times New Roman"/>
          <w:sz w:val="24"/>
          <w:szCs w:val="24"/>
        </w:rPr>
        <w:t xml:space="preserve"> was different, for they were not part of the laity, but of the Church and their romance was caught up in the European wide attempt by the papacy to enforce celibacy on its clergy. </w:t>
      </w:r>
    </w:p>
    <w:p w:rsidR="00F07E44" w:rsidRDefault="00F07E44" w:rsidP="00FF51F7">
      <w:pPr>
        <w:spacing w:after="0"/>
        <w:ind w:right="379"/>
        <w:rPr>
          <w:rFonts w:ascii="Times New Roman" w:hAnsi="Times New Roman"/>
          <w:sz w:val="24"/>
          <w:szCs w:val="24"/>
        </w:rPr>
      </w:pPr>
    </w:p>
    <w:p w:rsidR="00FF51F7" w:rsidRDefault="00FF51F7" w:rsidP="00FF51F7">
      <w:pPr>
        <w:spacing w:after="0"/>
        <w:ind w:right="379"/>
        <w:rPr>
          <w:rFonts w:ascii="Times New Roman" w:hAnsi="Times New Roman"/>
          <w:sz w:val="24"/>
          <w:szCs w:val="24"/>
        </w:rPr>
      </w:pPr>
      <w:r w:rsidRPr="00612244">
        <w:rPr>
          <w:rFonts w:ascii="Times New Roman" w:hAnsi="Times New Roman"/>
          <w:sz w:val="24"/>
          <w:szCs w:val="24"/>
        </w:rPr>
        <w:t>The reform papacy set out to define the clergy in opposition to lay aristocrats, and sexual</w:t>
      </w:r>
      <w:r>
        <w:rPr>
          <w:rFonts w:ascii="Times New Roman" w:hAnsi="Times New Roman"/>
          <w:sz w:val="24"/>
          <w:szCs w:val="24"/>
        </w:rPr>
        <w:t xml:space="preserve"> abstinence was to be a</w:t>
      </w:r>
      <w:r w:rsidRPr="00612244">
        <w:rPr>
          <w:rFonts w:ascii="Times New Roman" w:hAnsi="Times New Roman"/>
          <w:sz w:val="24"/>
          <w:szCs w:val="24"/>
        </w:rPr>
        <w:t xml:space="preserve"> key discriminator. My study set itself the task of attempting to judge how effective the papacy was in enforcing this new policy, how much difference it made to the actual behaviour of the clergy in England in the twelfth century. Did the Pope’s councils, his main method of promulgating his new rulings, actually achieve anything?</w:t>
      </w:r>
      <w:r w:rsidR="00517A1D">
        <w:rPr>
          <w:rFonts w:ascii="Times New Roman" w:hAnsi="Times New Roman"/>
          <w:sz w:val="24"/>
          <w:szCs w:val="24"/>
        </w:rPr>
        <w:t xml:space="preserve"> To find out I needed to run a longitudinal survey of the sexual behaviour of clergy almost 1000 years ago....</w:t>
      </w:r>
    </w:p>
    <w:p w:rsidR="00F07E44" w:rsidRDefault="00F07E44" w:rsidP="00FF51F7">
      <w:pPr>
        <w:spacing w:after="0"/>
        <w:ind w:right="379"/>
        <w:rPr>
          <w:rFonts w:ascii="Times New Roman" w:hAnsi="Times New Roman"/>
          <w:sz w:val="24"/>
          <w:szCs w:val="24"/>
        </w:rPr>
      </w:pPr>
    </w:p>
    <w:p w:rsidR="00F07E44" w:rsidRPr="00612244" w:rsidRDefault="00F07E44" w:rsidP="00FF51F7">
      <w:pPr>
        <w:spacing w:after="0"/>
        <w:ind w:right="379"/>
        <w:rPr>
          <w:rFonts w:ascii="Times New Roman" w:hAnsi="Times New Roman"/>
          <w:sz w:val="24"/>
          <w:szCs w:val="24"/>
        </w:rPr>
      </w:pPr>
      <w:r>
        <w:rPr>
          <w:rFonts w:ascii="Times New Roman" w:hAnsi="Times New Roman"/>
          <w:sz w:val="24"/>
          <w:szCs w:val="24"/>
        </w:rPr>
        <w:t>Existing literature is equally confused; for every writer who claims that the 12</w:t>
      </w:r>
      <w:r w:rsidRPr="00F07E44">
        <w:rPr>
          <w:rFonts w:ascii="Times New Roman" w:hAnsi="Times New Roman"/>
          <w:sz w:val="24"/>
          <w:szCs w:val="24"/>
          <w:vertAlign w:val="superscript"/>
        </w:rPr>
        <w:t>th</w:t>
      </w:r>
      <w:r>
        <w:rPr>
          <w:rFonts w:ascii="Times New Roman" w:hAnsi="Times New Roman"/>
          <w:sz w:val="24"/>
          <w:szCs w:val="24"/>
        </w:rPr>
        <w:t xml:space="preserve"> century clergy normally took wives and mistresses there is a writer who says they were generally sexually continent; some claim that the Conquest cleansed a corrupt Anglo-Saxon clergy, others that the conquest made no difference. There was little consensus, though perhaps the most authoritative </w:t>
      </w:r>
      <w:r w:rsidR="00736D0B">
        <w:rPr>
          <w:rFonts w:ascii="Times New Roman" w:hAnsi="Times New Roman"/>
          <w:sz w:val="24"/>
          <w:szCs w:val="24"/>
        </w:rPr>
        <w:t>statements</w:t>
      </w:r>
      <w:r>
        <w:rPr>
          <w:rFonts w:ascii="Times New Roman" w:hAnsi="Times New Roman"/>
          <w:sz w:val="24"/>
          <w:szCs w:val="24"/>
        </w:rPr>
        <w:t xml:space="preserve"> came from the father and son </w:t>
      </w:r>
      <w:proofErr w:type="spellStart"/>
      <w:r>
        <w:rPr>
          <w:rFonts w:ascii="Times New Roman" w:hAnsi="Times New Roman"/>
          <w:sz w:val="24"/>
          <w:szCs w:val="24"/>
        </w:rPr>
        <w:t>Professsors</w:t>
      </w:r>
      <w:proofErr w:type="spellEnd"/>
      <w:r>
        <w:rPr>
          <w:rFonts w:ascii="Times New Roman" w:hAnsi="Times New Roman"/>
          <w:sz w:val="24"/>
          <w:szCs w:val="24"/>
        </w:rPr>
        <w:t xml:space="preserve"> Brooke; </w:t>
      </w:r>
      <w:r w:rsidRPr="00612244">
        <w:rPr>
          <w:rFonts w:ascii="Times New Roman" w:hAnsi="Times New Roman"/>
          <w:sz w:val="24"/>
          <w:szCs w:val="24"/>
        </w:rPr>
        <w:t>Zachary Brooke maintains that no married bishops were appointed after 1170</w:t>
      </w:r>
      <w:r>
        <w:rPr>
          <w:rFonts w:ascii="Times New Roman" w:hAnsi="Times New Roman"/>
          <w:sz w:val="24"/>
          <w:szCs w:val="24"/>
        </w:rPr>
        <w:t xml:space="preserve"> and Christopher</w:t>
      </w:r>
      <w:r w:rsidRPr="00612244">
        <w:rPr>
          <w:rFonts w:ascii="Times New Roman" w:hAnsi="Times New Roman"/>
          <w:sz w:val="24"/>
          <w:szCs w:val="24"/>
        </w:rPr>
        <w:t>’s view</w:t>
      </w:r>
      <w:r>
        <w:rPr>
          <w:rFonts w:ascii="Times New Roman" w:hAnsi="Times New Roman"/>
          <w:sz w:val="24"/>
          <w:szCs w:val="24"/>
        </w:rPr>
        <w:t xml:space="preserve"> is</w:t>
      </w:r>
      <w:r w:rsidRPr="00612244">
        <w:rPr>
          <w:rFonts w:ascii="Times New Roman" w:hAnsi="Times New Roman"/>
          <w:sz w:val="24"/>
          <w:szCs w:val="24"/>
        </w:rPr>
        <w:t xml:space="preserve"> that clerical marriage amongst the higher clergy ‘died out’ in the mid twelfth century.</w:t>
      </w:r>
    </w:p>
    <w:p w:rsidR="00FF51F7" w:rsidRDefault="00FF51F7" w:rsidP="00FF51F7">
      <w:pPr>
        <w:spacing w:after="0"/>
        <w:ind w:right="379"/>
        <w:rPr>
          <w:rFonts w:ascii="Times New Roman" w:hAnsi="Times New Roman"/>
          <w:sz w:val="24"/>
          <w:szCs w:val="24"/>
        </w:rPr>
      </w:pPr>
    </w:p>
    <w:p w:rsidR="00F07E44" w:rsidRPr="00F07E44" w:rsidRDefault="00F07E44" w:rsidP="00FF51F7">
      <w:pPr>
        <w:spacing w:after="0"/>
        <w:ind w:right="379"/>
        <w:rPr>
          <w:rFonts w:ascii="Times New Roman" w:hAnsi="Times New Roman"/>
          <w:b/>
          <w:sz w:val="24"/>
          <w:szCs w:val="24"/>
        </w:rPr>
      </w:pPr>
      <w:r w:rsidRPr="00F07E44">
        <w:rPr>
          <w:rFonts w:ascii="Times New Roman" w:hAnsi="Times New Roman"/>
          <w:b/>
          <w:sz w:val="24"/>
          <w:szCs w:val="24"/>
        </w:rPr>
        <w:t>Methodology</w:t>
      </w: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I chose 1070 as the starting point for the study because the council of that year represents the real start of the post-Conquest Church in England. The </w:t>
      </w:r>
      <w:r w:rsidRPr="00156BBA">
        <w:rPr>
          <w:rFonts w:ascii="Times New Roman" w:hAnsi="Times New Roman"/>
          <w:sz w:val="24"/>
          <w:szCs w:val="24"/>
        </w:rPr>
        <w:t xml:space="preserve">death of </w:t>
      </w:r>
      <w:proofErr w:type="spellStart"/>
      <w:r w:rsidRPr="00156BBA">
        <w:rPr>
          <w:rFonts w:ascii="Times New Roman" w:hAnsi="Times New Roman"/>
          <w:sz w:val="24"/>
          <w:szCs w:val="24"/>
        </w:rPr>
        <w:t>Ealdred</w:t>
      </w:r>
      <w:proofErr w:type="spellEnd"/>
      <w:r w:rsidRPr="00156BBA">
        <w:rPr>
          <w:rFonts w:ascii="Times New Roman" w:hAnsi="Times New Roman"/>
          <w:sz w:val="24"/>
          <w:szCs w:val="24"/>
        </w:rPr>
        <w:t xml:space="preserve"> and the removal of </w:t>
      </w:r>
      <w:r w:rsidR="00F07E44" w:rsidRPr="00156BBA">
        <w:rPr>
          <w:rFonts w:ascii="Times New Roman" w:hAnsi="Times New Roman"/>
          <w:sz w:val="24"/>
          <w:szCs w:val="24"/>
        </w:rPr>
        <w:t xml:space="preserve">Archbishop </w:t>
      </w:r>
      <w:proofErr w:type="spellStart"/>
      <w:r w:rsidRPr="00156BBA">
        <w:rPr>
          <w:rFonts w:ascii="Times New Roman" w:hAnsi="Times New Roman"/>
          <w:sz w:val="24"/>
          <w:szCs w:val="24"/>
        </w:rPr>
        <w:t>Stigand</w:t>
      </w:r>
      <w:proofErr w:type="spellEnd"/>
      <w:r w:rsidRPr="00156BBA">
        <w:rPr>
          <w:rFonts w:ascii="Times New Roman" w:hAnsi="Times New Roman"/>
          <w:sz w:val="24"/>
          <w:szCs w:val="24"/>
        </w:rPr>
        <w:t xml:space="preserve"> </w:t>
      </w:r>
      <w:r w:rsidR="00F07E44" w:rsidRPr="00156BBA">
        <w:rPr>
          <w:rFonts w:ascii="Times New Roman" w:hAnsi="Times New Roman"/>
          <w:sz w:val="24"/>
          <w:szCs w:val="24"/>
        </w:rPr>
        <w:t xml:space="preserve">(Canterbury &amp; Winchester!) </w:t>
      </w:r>
      <w:r w:rsidRPr="00156BBA">
        <w:rPr>
          <w:rFonts w:ascii="Times New Roman" w:hAnsi="Times New Roman"/>
          <w:sz w:val="24"/>
          <w:szCs w:val="24"/>
        </w:rPr>
        <w:t>and his associates</w:t>
      </w:r>
      <w:r w:rsidRPr="00612244">
        <w:rPr>
          <w:rFonts w:ascii="Times New Roman" w:hAnsi="Times New Roman"/>
          <w:sz w:val="24"/>
          <w:szCs w:val="24"/>
        </w:rPr>
        <w:t xml:space="preserve"> gave William of Normandy an opportunity to bring in his own men and reorganise the church along Norman lines. There were two groups of the higher clergy open to study: </w:t>
      </w:r>
      <w:r w:rsidR="00EB7ABF">
        <w:rPr>
          <w:rFonts w:ascii="Times New Roman" w:hAnsi="Times New Roman"/>
          <w:sz w:val="24"/>
          <w:szCs w:val="24"/>
        </w:rPr>
        <w:t xml:space="preserve">firstly </w:t>
      </w:r>
      <w:r w:rsidRPr="00612244">
        <w:rPr>
          <w:rFonts w:ascii="Times New Roman" w:hAnsi="Times New Roman"/>
          <w:sz w:val="24"/>
          <w:szCs w:val="24"/>
        </w:rPr>
        <w:t xml:space="preserve">the bishops and the cathedral canons. The makeup of the Chapters of many cathedrals can be traced from the </w:t>
      </w:r>
      <w:proofErr w:type="spellStart"/>
      <w:r w:rsidRPr="00612244">
        <w:rPr>
          <w:rFonts w:ascii="Times New Roman" w:hAnsi="Times New Roman"/>
          <w:i/>
          <w:sz w:val="24"/>
          <w:szCs w:val="24"/>
        </w:rPr>
        <w:t>Fasti</w:t>
      </w:r>
      <w:proofErr w:type="spellEnd"/>
      <w:r w:rsidRPr="00612244">
        <w:rPr>
          <w:rFonts w:ascii="Times New Roman" w:hAnsi="Times New Roman"/>
          <w:i/>
          <w:sz w:val="24"/>
          <w:szCs w:val="24"/>
        </w:rPr>
        <w:t xml:space="preserve"> Ecclesiae Angelica</w:t>
      </w:r>
      <w:r w:rsidRPr="00612244">
        <w:rPr>
          <w:rFonts w:ascii="Times New Roman" w:hAnsi="Times New Roman"/>
          <w:sz w:val="24"/>
          <w:szCs w:val="24"/>
        </w:rPr>
        <w:t>, the principal reference work detailing the cathedral clergy on a diocesan basis. I use</w:t>
      </w:r>
      <w:r>
        <w:rPr>
          <w:rFonts w:ascii="Times New Roman" w:hAnsi="Times New Roman"/>
          <w:sz w:val="24"/>
          <w:szCs w:val="24"/>
        </w:rPr>
        <w:t>d</w:t>
      </w:r>
      <w:r w:rsidRPr="00612244">
        <w:rPr>
          <w:rFonts w:ascii="Times New Roman" w:hAnsi="Times New Roman"/>
          <w:sz w:val="24"/>
          <w:szCs w:val="24"/>
        </w:rPr>
        <w:t xml:space="preserve"> these lists to discover how many Cathedral canons had sons who in turn became Cathedral canons. An entry such as: </w:t>
      </w:r>
      <w:r>
        <w:rPr>
          <w:rFonts w:ascii="Times New Roman" w:hAnsi="Times New Roman"/>
          <w:sz w:val="24"/>
          <w:szCs w:val="24"/>
        </w:rPr>
        <w:t>“</w:t>
      </w:r>
      <w:proofErr w:type="spellStart"/>
      <w:r w:rsidRPr="00612244">
        <w:rPr>
          <w:rFonts w:ascii="Times New Roman" w:hAnsi="Times New Roman"/>
          <w:sz w:val="24"/>
          <w:szCs w:val="24"/>
        </w:rPr>
        <w:t>Ranulf</w:t>
      </w:r>
      <w:proofErr w:type="spellEnd"/>
      <w:r w:rsidRPr="00612244">
        <w:rPr>
          <w:rFonts w:ascii="Times New Roman" w:hAnsi="Times New Roman"/>
          <w:sz w:val="24"/>
          <w:szCs w:val="24"/>
        </w:rPr>
        <w:t xml:space="preserve"> was son of Dean </w:t>
      </w:r>
      <w:proofErr w:type="spellStart"/>
      <w:r w:rsidRPr="00612244">
        <w:rPr>
          <w:rFonts w:ascii="Times New Roman" w:hAnsi="Times New Roman"/>
          <w:sz w:val="24"/>
          <w:szCs w:val="24"/>
        </w:rPr>
        <w:t>Erchemar</w:t>
      </w:r>
      <w:proofErr w:type="spellEnd"/>
      <w:r w:rsidRPr="00612244">
        <w:rPr>
          <w:rFonts w:ascii="Times New Roman" w:hAnsi="Times New Roman"/>
          <w:sz w:val="24"/>
          <w:szCs w:val="24"/>
        </w:rPr>
        <w:t xml:space="preserve"> and had a son </w:t>
      </w:r>
      <w:proofErr w:type="spellStart"/>
      <w:r w:rsidRPr="00612244">
        <w:rPr>
          <w:rFonts w:ascii="Times New Roman" w:hAnsi="Times New Roman"/>
          <w:sz w:val="24"/>
          <w:szCs w:val="24"/>
        </w:rPr>
        <w:t>Ranulf</w:t>
      </w:r>
      <w:proofErr w:type="spellEnd"/>
      <w:r>
        <w:rPr>
          <w:rFonts w:ascii="Times New Roman" w:hAnsi="Times New Roman"/>
          <w:sz w:val="24"/>
          <w:szCs w:val="24"/>
        </w:rPr>
        <w:t>”</w:t>
      </w:r>
      <w:r w:rsidRPr="00612244">
        <w:rPr>
          <w:rFonts w:ascii="Times New Roman" w:hAnsi="Times New Roman"/>
          <w:sz w:val="24"/>
          <w:szCs w:val="24"/>
        </w:rPr>
        <w:t xml:space="preserve"> leaves little doubt that both </w:t>
      </w:r>
      <w:proofErr w:type="spellStart"/>
      <w:r w:rsidRPr="00612244">
        <w:rPr>
          <w:rFonts w:ascii="Times New Roman" w:hAnsi="Times New Roman"/>
          <w:sz w:val="24"/>
          <w:szCs w:val="24"/>
        </w:rPr>
        <w:t>Ranulf</w:t>
      </w:r>
      <w:proofErr w:type="spellEnd"/>
      <w:r w:rsidRPr="00612244">
        <w:rPr>
          <w:rFonts w:ascii="Times New Roman" w:hAnsi="Times New Roman"/>
          <w:sz w:val="24"/>
          <w:szCs w:val="24"/>
        </w:rPr>
        <w:t xml:space="preserve"> and Dean </w:t>
      </w:r>
      <w:proofErr w:type="spellStart"/>
      <w:r w:rsidRPr="00612244">
        <w:rPr>
          <w:rFonts w:ascii="Times New Roman" w:hAnsi="Times New Roman"/>
          <w:sz w:val="24"/>
          <w:szCs w:val="24"/>
        </w:rPr>
        <w:t>Erchemar</w:t>
      </w:r>
      <w:proofErr w:type="spellEnd"/>
      <w:r w:rsidRPr="00612244">
        <w:rPr>
          <w:rFonts w:ascii="Times New Roman" w:hAnsi="Times New Roman"/>
          <w:sz w:val="24"/>
          <w:szCs w:val="24"/>
        </w:rPr>
        <w:t xml:space="preserve"> were not sexually continent. </w:t>
      </w:r>
    </w:p>
    <w:p w:rsidR="00FF51F7" w:rsidRPr="00612244" w:rsidRDefault="00FF51F7" w:rsidP="00FF51F7">
      <w:pPr>
        <w:spacing w:after="0"/>
        <w:ind w:right="379"/>
        <w:rPr>
          <w:rFonts w:ascii="Times New Roman" w:hAnsi="Times New Roman"/>
          <w:sz w:val="24"/>
          <w:szCs w:val="24"/>
        </w:rPr>
      </w:pP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For the purposes of tracking changes over the period, I gave each fatherly canon a date. This is </w:t>
      </w:r>
      <w:r w:rsidR="00517A1D">
        <w:rPr>
          <w:rFonts w:ascii="Times New Roman" w:hAnsi="Times New Roman"/>
          <w:sz w:val="24"/>
          <w:szCs w:val="24"/>
        </w:rPr>
        <w:t>rather</w:t>
      </w:r>
      <w:r w:rsidRPr="00612244">
        <w:rPr>
          <w:rFonts w:ascii="Times New Roman" w:hAnsi="Times New Roman"/>
          <w:sz w:val="24"/>
          <w:szCs w:val="24"/>
        </w:rPr>
        <w:t xml:space="preserve"> problematic. A canon may have three mentions in the </w:t>
      </w:r>
      <w:proofErr w:type="spellStart"/>
      <w:r w:rsidRPr="00612244">
        <w:rPr>
          <w:rFonts w:ascii="Times New Roman" w:hAnsi="Times New Roman"/>
          <w:i/>
          <w:sz w:val="24"/>
          <w:szCs w:val="24"/>
        </w:rPr>
        <w:t>Fasti</w:t>
      </w:r>
      <w:proofErr w:type="spellEnd"/>
      <w:r w:rsidRPr="00612244">
        <w:rPr>
          <w:rFonts w:ascii="Times New Roman" w:hAnsi="Times New Roman"/>
          <w:i/>
          <w:sz w:val="24"/>
          <w:szCs w:val="24"/>
        </w:rPr>
        <w:t xml:space="preserve"> Ecclesiae Angelica</w:t>
      </w:r>
      <w:r w:rsidRPr="00612244">
        <w:rPr>
          <w:rFonts w:ascii="Times New Roman" w:hAnsi="Times New Roman"/>
          <w:sz w:val="24"/>
          <w:szCs w:val="24"/>
        </w:rPr>
        <w:t xml:space="preserve"> across a period of 30 years, or he may have no specific record, only being referred to as the father of a canon. In general I used the date of a</w:t>
      </w:r>
      <w:r w:rsidR="00736D0B">
        <w:rPr>
          <w:rFonts w:ascii="Times New Roman" w:hAnsi="Times New Roman"/>
          <w:sz w:val="24"/>
          <w:szCs w:val="24"/>
        </w:rPr>
        <w:t xml:space="preserve"> canon’s first mention, </w:t>
      </w:r>
      <w:r w:rsidR="00736D0B">
        <w:rPr>
          <w:rFonts w:ascii="Times New Roman" w:hAnsi="Times New Roman"/>
          <w:sz w:val="24"/>
          <w:szCs w:val="24"/>
        </w:rPr>
        <w:lastRenderedPageBreak/>
        <w:t>or took</w:t>
      </w:r>
      <w:r w:rsidRPr="00612244">
        <w:rPr>
          <w:rFonts w:ascii="Times New Roman" w:hAnsi="Times New Roman"/>
          <w:sz w:val="24"/>
          <w:szCs w:val="24"/>
        </w:rPr>
        <w:t xml:space="preserve"> 20 years off the first reference to his son. While this method is inevitably approximate, I attempted to apply it consistently.</w:t>
      </w:r>
    </w:p>
    <w:p w:rsidR="00FF51F7" w:rsidRPr="00612244" w:rsidRDefault="00FF51F7" w:rsidP="00FF51F7">
      <w:pPr>
        <w:spacing w:after="0"/>
        <w:ind w:right="379"/>
        <w:rPr>
          <w:rFonts w:ascii="Times New Roman" w:hAnsi="Times New Roman"/>
          <w:sz w:val="24"/>
          <w:szCs w:val="24"/>
        </w:rPr>
      </w:pPr>
    </w:p>
    <w:p w:rsidR="00517A1D"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Bishops were public figures many of whom left a record of their lives. A systematic interrogation of the </w:t>
      </w:r>
      <w:r w:rsidRPr="00612244">
        <w:rPr>
          <w:rFonts w:ascii="Times New Roman" w:hAnsi="Times New Roman"/>
          <w:i/>
          <w:sz w:val="24"/>
          <w:szCs w:val="24"/>
        </w:rPr>
        <w:t>Dictionary of National Biography</w:t>
      </w:r>
      <w:r w:rsidRPr="00612244">
        <w:rPr>
          <w:rFonts w:ascii="Times New Roman" w:hAnsi="Times New Roman"/>
          <w:sz w:val="24"/>
          <w:szCs w:val="24"/>
        </w:rPr>
        <w:t xml:space="preserve">, focussed reading of the major chronicles of the period (including </w:t>
      </w:r>
      <w:proofErr w:type="spellStart"/>
      <w:r w:rsidRPr="00612244">
        <w:rPr>
          <w:rFonts w:ascii="Times New Roman" w:hAnsi="Times New Roman"/>
          <w:sz w:val="24"/>
          <w:szCs w:val="24"/>
        </w:rPr>
        <w:t>Eadmer</w:t>
      </w:r>
      <w:proofErr w:type="spellEnd"/>
      <w:r w:rsidRPr="00612244">
        <w:rPr>
          <w:rFonts w:ascii="Times New Roman" w:hAnsi="Times New Roman"/>
          <w:sz w:val="24"/>
          <w:szCs w:val="24"/>
        </w:rPr>
        <w:t xml:space="preserve">, Hugh the Chanter, William of </w:t>
      </w:r>
      <w:proofErr w:type="spellStart"/>
      <w:r w:rsidRPr="00612244">
        <w:rPr>
          <w:rFonts w:ascii="Times New Roman" w:hAnsi="Times New Roman"/>
          <w:sz w:val="24"/>
          <w:szCs w:val="24"/>
        </w:rPr>
        <w:t>Malmesbury</w:t>
      </w:r>
      <w:proofErr w:type="spellEnd"/>
      <w:r w:rsidRPr="00612244">
        <w:rPr>
          <w:rFonts w:ascii="Times New Roman" w:hAnsi="Times New Roman"/>
          <w:sz w:val="24"/>
          <w:szCs w:val="24"/>
        </w:rPr>
        <w:t xml:space="preserve">, </w:t>
      </w:r>
      <w:proofErr w:type="spellStart"/>
      <w:r w:rsidRPr="00612244">
        <w:rPr>
          <w:rFonts w:ascii="Times New Roman" w:hAnsi="Times New Roman"/>
          <w:sz w:val="24"/>
          <w:szCs w:val="24"/>
        </w:rPr>
        <w:t>Oderic</w:t>
      </w:r>
      <w:proofErr w:type="spellEnd"/>
      <w:r w:rsidRPr="00612244">
        <w:rPr>
          <w:rFonts w:ascii="Times New Roman" w:hAnsi="Times New Roman"/>
          <w:sz w:val="24"/>
          <w:szCs w:val="24"/>
        </w:rPr>
        <w:t xml:space="preserve"> </w:t>
      </w:r>
      <w:proofErr w:type="spellStart"/>
      <w:r w:rsidRPr="00612244">
        <w:rPr>
          <w:rFonts w:ascii="Times New Roman" w:hAnsi="Times New Roman"/>
          <w:sz w:val="24"/>
          <w:szCs w:val="24"/>
        </w:rPr>
        <w:t>Vitalis</w:t>
      </w:r>
      <w:proofErr w:type="spellEnd"/>
      <w:r w:rsidRPr="00612244">
        <w:rPr>
          <w:rFonts w:ascii="Times New Roman" w:hAnsi="Times New Roman"/>
          <w:sz w:val="24"/>
          <w:szCs w:val="24"/>
        </w:rPr>
        <w:t xml:space="preserve">, John of Worcester, </w:t>
      </w:r>
      <w:proofErr w:type="spellStart"/>
      <w:r w:rsidRPr="00612244">
        <w:rPr>
          <w:rFonts w:ascii="Times New Roman" w:hAnsi="Times New Roman"/>
          <w:sz w:val="24"/>
          <w:szCs w:val="24"/>
        </w:rPr>
        <w:t>Gervase</w:t>
      </w:r>
      <w:proofErr w:type="spellEnd"/>
      <w:r w:rsidRPr="00612244">
        <w:rPr>
          <w:rFonts w:ascii="Times New Roman" w:hAnsi="Times New Roman"/>
          <w:sz w:val="24"/>
          <w:szCs w:val="24"/>
        </w:rPr>
        <w:t xml:space="preserve"> of Canterbury, Henry of Huntingdon and Gerald of Wales) allowed me to create a picture of the behaviour of many of the bishops in the period under study. Specific references to married clergy</w:t>
      </w:r>
      <w:r>
        <w:rPr>
          <w:rFonts w:ascii="Times New Roman" w:hAnsi="Times New Roman"/>
          <w:sz w:val="24"/>
          <w:szCs w:val="24"/>
        </w:rPr>
        <w:t xml:space="preserve"> are</w:t>
      </w:r>
      <w:r w:rsidRPr="00612244">
        <w:rPr>
          <w:rFonts w:ascii="Times New Roman" w:hAnsi="Times New Roman"/>
          <w:sz w:val="24"/>
          <w:szCs w:val="24"/>
        </w:rPr>
        <w:t xml:space="preserve"> rare</w:t>
      </w:r>
      <w:r>
        <w:rPr>
          <w:rFonts w:ascii="Times New Roman" w:hAnsi="Times New Roman"/>
          <w:sz w:val="24"/>
          <w:szCs w:val="24"/>
        </w:rPr>
        <w:t xml:space="preserve">, and examples </w:t>
      </w:r>
      <w:r w:rsidRPr="00612244">
        <w:rPr>
          <w:rFonts w:ascii="Times New Roman" w:hAnsi="Times New Roman"/>
          <w:sz w:val="24"/>
          <w:szCs w:val="24"/>
        </w:rPr>
        <w:t xml:space="preserve">such as </w:t>
      </w:r>
      <w:r>
        <w:rPr>
          <w:rFonts w:ascii="Times New Roman" w:hAnsi="Times New Roman"/>
          <w:sz w:val="24"/>
          <w:szCs w:val="24"/>
        </w:rPr>
        <w:t xml:space="preserve">Bishop </w:t>
      </w:r>
      <w:r w:rsidRPr="00612244">
        <w:rPr>
          <w:rFonts w:ascii="Times New Roman" w:hAnsi="Times New Roman"/>
          <w:sz w:val="24"/>
          <w:szCs w:val="24"/>
        </w:rPr>
        <w:t xml:space="preserve">Roger </w:t>
      </w:r>
      <w:r>
        <w:rPr>
          <w:rFonts w:ascii="Times New Roman" w:hAnsi="Times New Roman"/>
          <w:sz w:val="24"/>
          <w:szCs w:val="24"/>
        </w:rPr>
        <w:t xml:space="preserve">of Salisbury </w:t>
      </w:r>
      <w:r w:rsidRPr="00612244">
        <w:rPr>
          <w:rFonts w:ascii="Times New Roman" w:hAnsi="Times New Roman"/>
          <w:sz w:val="24"/>
          <w:szCs w:val="24"/>
        </w:rPr>
        <w:t>whose wife and children are known by name are highly unusual.</w:t>
      </w:r>
      <w:r w:rsidRPr="00612244">
        <w:rPr>
          <w:rStyle w:val="FootnoteReference"/>
          <w:rFonts w:ascii="Times New Roman" w:hAnsi="Times New Roman"/>
          <w:sz w:val="24"/>
          <w:szCs w:val="24"/>
        </w:rPr>
        <w:footnoteReference w:id="1"/>
      </w:r>
      <w:r w:rsidRPr="00612244">
        <w:rPr>
          <w:rFonts w:ascii="Times New Roman" w:hAnsi="Times New Roman"/>
          <w:sz w:val="24"/>
          <w:szCs w:val="24"/>
        </w:rPr>
        <w:t xml:space="preserve"> </w:t>
      </w:r>
    </w:p>
    <w:p w:rsidR="00517A1D" w:rsidRDefault="00517A1D" w:rsidP="00FF51F7">
      <w:pPr>
        <w:spacing w:after="0"/>
        <w:ind w:right="379"/>
        <w:rPr>
          <w:rFonts w:ascii="Times New Roman" w:hAnsi="Times New Roman"/>
          <w:sz w:val="24"/>
          <w:szCs w:val="24"/>
        </w:rPr>
      </w:pPr>
    </w:p>
    <w:p w:rsidR="00FF51F7" w:rsidRDefault="00517A1D" w:rsidP="00FF51F7">
      <w:pPr>
        <w:spacing w:after="0"/>
        <w:ind w:right="379"/>
        <w:rPr>
          <w:rFonts w:ascii="Times New Roman" w:hAnsi="Times New Roman"/>
          <w:sz w:val="24"/>
          <w:szCs w:val="24"/>
        </w:rPr>
      </w:pPr>
      <w:r>
        <w:rPr>
          <w:rFonts w:ascii="Times New Roman" w:hAnsi="Times New Roman"/>
          <w:sz w:val="24"/>
          <w:szCs w:val="24"/>
        </w:rPr>
        <w:t xml:space="preserve">The other problem with the chronicle record is establishing its veracity.  Chronicles were not neutral, </w:t>
      </w:r>
      <w:r w:rsidR="00736D0B">
        <w:rPr>
          <w:rFonts w:ascii="Times New Roman" w:hAnsi="Times New Roman"/>
          <w:sz w:val="24"/>
          <w:szCs w:val="24"/>
        </w:rPr>
        <w:t>objective</w:t>
      </w:r>
      <w:r>
        <w:rPr>
          <w:rFonts w:ascii="Times New Roman" w:hAnsi="Times New Roman"/>
          <w:sz w:val="24"/>
          <w:szCs w:val="24"/>
        </w:rPr>
        <w:t xml:space="preserve"> accounts of what we might now call history. They represent a view, usually a very partial one! </w:t>
      </w:r>
      <w:r w:rsidR="00FF51F7" w:rsidRPr="00612244">
        <w:rPr>
          <w:rFonts w:ascii="Times New Roman" w:hAnsi="Times New Roman"/>
          <w:sz w:val="24"/>
          <w:szCs w:val="24"/>
        </w:rPr>
        <w:t xml:space="preserve">It is clearly possible that accusations of sexual misconduct were made for personal or political gain rather than as a matter of record. So when we read in William of </w:t>
      </w:r>
      <w:proofErr w:type="spellStart"/>
      <w:r w:rsidR="00FF51F7" w:rsidRPr="00612244">
        <w:rPr>
          <w:rFonts w:ascii="Times New Roman" w:hAnsi="Times New Roman"/>
          <w:sz w:val="24"/>
          <w:szCs w:val="24"/>
        </w:rPr>
        <w:t>Malmesbury</w:t>
      </w:r>
      <w:proofErr w:type="spellEnd"/>
      <w:r w:rsidR="00FF51F7" w:rsidRPr="00612244">
        <w:rPr>
          <w:rFonts w:ascii="Times New Roman" w:hAnsi="Times New Roman"/>
          <w:sz w:val="24"/>
          <w:szCs w:val="24"/>
        </w:rPr>
        <w:t xml:space="preserve"> that Walter, Bishop of Hereford, </w:t>
      </w:r>
      <w:r w:rsidR="00FF51F7">
        <w:rPr>
          <w:rFonts w:ascii="Times New Roman" w:hAnsi="Times New Roman"/>
          <w:sz w:val="24"/>
          <w:szCs w:val="24"/>
        </w:rPr>
        <w:t>“</w:t>
      </w:r>
      <w:r w:rsidR="00FF51F7" w:rsidRPr="00612244">
        <w:rPr>
          <w:rFonts w:ascii="Times New Roman" w:hAnsi="Times New Roman"/>
          <w:sz w:val="24"/>
          <w:szCs w:val="24"/>
        </w:rPr>
        <w:t>died while raping a seamstress</w:t>
      </w:r>
      <w:r w:rsidR="00FF51F7">
        <w:rPr>
          <w:rFonts w:ascii="Times New Roman" w:hAnsi="Times New Roman"/>
          <w:sz w:val="24"/>
          <w:szCs w:val="24"/>
        </w:rPr>
        <w:t>”</w:t>
      </w:r>
      <w:r w:rsidR="00FF51F7" w:rsidRPr="00612244">
        <w:rPr>
          <w:rFonts w:ascii="Times New Roman" w:hAnsi="Times New Roman"/>
          <w:sz w:val="24"/>
          <w:szCs w:val="24"/>
        </w:rPr>
        <w:t xml:space="preserve"> what are we to make of this? It could mean that William had a score to settle with Walter, that William’s patrons had a score to settle with Walter, that Walter was lewd and disreputable person </w:t>
      </w:r>
      <w:r w:rsidR="00FF51F7">
        <w:rPr>
          <w:rFonts w:ascii="Times New Roman" w:hAnsi="Times New Roman"/>
          <w:sz w:val="24"/>
          <w:szCs w:val="24"/>
        </w:rPr>
        <w:t xml:space="preserve">and it is believable that he </w:t>
      </w:r>
      <w:r w:rsidR="00FF51F7" w:rsidRPr="00612244">
        <w:rPr>
          <w:rFonts w:ascii="Times New Roman" w:hAnsi="Times New Roman"/>
          <w:sz w:val="24"/>
          <w:szCs w:val="24"/>
        </w:rPr>
        <w:t>died whil</w:t>
      </w:r>
      <w:r w:rsidR="00FF51F7">
        <w:rPr>
          <w:rFonts w:ascii="Times New Roman" w:hAnsi="Times New Roman"/>
          <w:sz w:val="24"/>
          <w:szCs w:val="24"/>
        </w:rPr>
        <w:t>e raping a seamstress. Or</w:t>
      </w:r>
      <w:r w:rsidR="00FF51F7" w:rsidRPr="00612244">
        <w:rPr>
          <w:rFonts w:ascii="Times New Roman" w:hAnsi="Times New Roman"/>
          <w:sz w:val="24"/>
          <w:szCs w:val="24"/>
        </w:rPr>
        <w:t xml:space="preserve"> that this is an accurate report of what actually happened. </w:t>
      </w:r>
    </w:p>
    <w:p w:rsidR="00E55532" w:rsidRDefault="00E55532" w:rsidP="00FF51F7">
      <w:pPr>
        <w:spacing w:after="0"/>
        <w:ind w:right="379"/>
        <w:rPr>
          <w:rFonts w:ascii="Times New Roman" w:hAnsi="Times New Roman"/>
          <w:sz w:val="24"/>
          <w:szCs w:val="24"/>
        </w:rPr>
      </w:pPr>
    </w:p>
    <w:p w:rsidR="00E55532" w:rsidRDefault="00E55532" w:rsidP="00E55532">
      <w:pPr>
        <w:spacing w:after="0"/>
        <w:rPr>
          <w:rFonts w:ascii="Times New Roman" w:hAnsi="Times New Roman"/>
          <w:sz w:val="24"/>
          <w:szCs w:val="24"/>
        </w:rPr>
      </w:pPr>
      <w:r>
        <w:rPr>
          <w:rFonts w:ascii="Times New Roman" w:hAnsi="Times New Roman"/>
          <w:sz w:val="24"/>
          <w:szCs w:val="24"/>
        </w:rPr>
        <w:t xml:space="preserve">An even more difficult </w:t>
      </w:r>
      <w:r w:rsidRPr="00803616">
        <w:rPr>
          <w:rFonts w:ascii="Times New Roman" w:hAnsi="Times New Roman"/>
          <w:sz w:val="24"/>
          <w:szCs w:val="24"/>
        </w:rPr>
        <w:t xml:space="preserve">case </w:t>
      </w:r>
      <w:r>
        <w:rPr>
          <w:rFonts w:ascii="Times New Roman" w:hAnsi="Times New Roman"/>
          <w:sz w:val="24"/>
          <w:szCs w:val="24"/>
        </w:rPr>
        <w:t xml:space="preserve">is that of Geoffrey </w:t>
      </w:r>
      <w:proofErr w:type="spellStart"/>
      <w:r>
        <w:rPr>
          <w:rFonts w:ascii="Times New Roman" w:hAnsi="Times New Roman"/>
          <w:sz w:val="24"/>
          <w:szCs w:val="24"/>
        </w:rPr>
        <w:t>Rid</w:t>
      </w:r>
      <w:r w:rsidRPr="00803616">
        <w:rPr>
          <w:rFonts w:ascii="Times New Roman" w:hAnsi="Times New Roman"/>
          <w:sz w:val="24"/>
          <w:szCs w:val="24"/>
        </w:rPr>
        <w:t>el</w:t>
      </w:r>
      <w:proofErr w:type="spellEnd"/>
      <w:r>
        <w:rPr>
          <w:rFonts w:ascii="Times New Roman" w:hAnsi="Times New Roman"/>
          <w:sz w:val="24"/>
          <w:szCs w:val="24"/>
        </w:rPr>
        <w:t xml:space="preserve">, who </w:t>
      </w:r>
      <w:proofErr w:type="gramStart"/>
      <w:r>
        <w:rPr>
          <w:rFonts w:ascii="Times New Roman" w:hAnsi="Times New Roman"/>
          <w:sz w:val="24"/>
          <w:szCs w:val="24"/>
        </w:rPr>
        <w:t>became Bishop of Ely</w:t>
      </w:r>
      <w:proofErr w:type="gramEnd"/>
      <w:r>
        <w:rPr>
          <w:rFonts w:ascii="Times New Roman" w:hAnsi="Times New Roman"/>
          <w:sz w:val="24"/>
          <w:szCs w:val="24"/>
        </w:rPr>
        <w:t xml:space="preserve"> in 1173 having previously been</w:t>
      </w:r>
      <w:r w:rsidRPr="00803616">
        <w:rPr>
          <w:rFonts w:ascii="Times New Roman" w:hAnsi="Times New Roman"/>
          <w:sz w:val="24"/>
          <w:szCs w:val="24"/>
        </w:rPr>
        <w:t xml:space="preserve"> Chief justice of Henry II. According to De </w:t>
      </w:r>
      <w:proofErr w:type="spellStart"/>
      <w:r w:rsidRPr="00803616">
        <w:rPr>
          <w:rFonts w:ascii="Times New Roman" w:hAnsi="Times New Roman"/>
          <w:sz w:val="24"/>
          <w:szCs w:val="24"/>
        </w:rPr>
        <w:t>Diceto</w:t>
      </w:r>
      <w:proofErr w:type="spellEnd"/>
      <w:r w:rsidRPr="00803616">
        <w:rPr>
          <w:rFonts w:ascii="Times New Roman" w:hAnsi="Times New Roman"/>
          <w:sz w:val="24"/>
          <w:szCs w:val="24"/>
        </w:rPr>
        <w:t xml:space="preserve"> he was accused of </w:t>
      </w:r>
      <w:r>
        <w:rPr>
          <w:rFonts w:ascii="Times New Roman" w:hAnsi="Times New Roman"/>
          <w:sz w:val="24"/>
          <w:szCs w:val="24"/>
        </w:rPr>
        <w:t>‘</w:t>
      </w:r>
      <w:r w:rsidRPr="00803616">
        <w:rPr>
          <w:rFonts w:ascii="Times New Roman" w:hAnsi="Times New Roman"/>
          <w:sz w:val="24"/>
          <w:szCs w:val="24"/>
        </w:rPr>
        <w:t>incontinenc</w:t>
      </w:r>
      <w:r>
        <w:rPr>
          <w:rFonts w:ascii="Times New Roman" w:hAnsi="Times New Roman"/>
          <w:sz w:val="24"/>
          <w:szCs w:val="24"/>
        </w:rPr>
        <w:t>e’</w:t>
      </w:r>
      <w:r w:rsidRPr="00803616">
        <w:rPr>
          <w:rFonts w:ascii="Times New Roman" w:hAnsi="Times New Roman"/>
          <w:sz w:val="24"/>
          <w:szCs w:val="24"/>
        </w:rPr>
        <w:t xml:space="preserve"> but denied that he had </w:t>
      </w:r>
      <w:r w:rsidRPr="0064745D">
        <w:rPr>
          <w:rFonts w:ascii="Times New Roman" w:hAnsi="Times New Roman"/>
          <w:i/>
          <w:sz w:val="24"/>
          <w:szCs w:val="24"/>
        </w:rPr>
        <w:t>while in holy order</w:t>
      </w:r>
      <w:r>
        <w:rPr>
          <w:rFonts w:ascii="Times New Roman" w:hAnsi="Times New Roman"/>
          <w:i/>
          <w:sz w:val="24"/>
          <w:szCs w:val="24"/>
        </w:rPr>
        <w:t>s.</w:t>
      </w:r>
      <w:r w:rsidRPr="00803616">
        <w:rPr>
          <w:rFonts w:ascii="Times New Roman" w:hAnsi="Times New Roman"/>
          <w:sz w:val="24"/>
          <w:szCs w:val="24"/>
        </w:rPr>
        <w:t xml:space="preserve"> However, according to Roger of </w:t>
      </w:r>
      <w:proofErr w:type="spellStart"/>
      <w:r w:rsidRPr="00803616">
        <w:rPr>
          <w:rFonts w:ascii="Times New Roman" w:hAnsi="Times New Roman"/>
          <w:sz w:val="24"/>
          <w:szCs w:val="24"/>
        </w:rPr>
        <w:t>Hovedene</w:t>
      </w:r>
      <w:proofErr w:type="spellEnd"/>
      <w:r w:rsidRPr="00803616">
        <w:rPr>
          <w:rFonts w:ascii="Times New Roman" w:hAnsi="Times New Roman"/>
          <w:sz w:val="24"/>
          <w:szCs w:val="24"/>
        </w:rPr>
        <w:t xml:space="preserve"> he was married </w:t>
      </w:r>
      <w:r w:rsidRPr="0064745D">
        <w:rPr>
          <w:rFonts w:ascii="Times New Roman" w:hAnsi="Times New Roman"/>
          <w:i/>
          <w:sz w:val="24"/>
          <w:szCs w:val="24"/>
        </w:rPr>
        <w:t>after</w:t>
      </w:r>
      <w:r w:rsidRPr="00803616">
        <w:rPr>
          <w:rFonts w:ascii="Times New Roman" w:hAnsi="Times New Roman"/>
          <w:sz w:val="24"/>
          <w:szCs w:val="24"/>
        </w:rPr>
        <w:t xml:space="preserve"> becoming bishop</w:t>
      </w:r>
      <w:r>
        <w:rPr>
          <w:rFonts w:ascii="Times New Roman" w:hAnsi="Times New Roman"/>
          <w:sz w:val="24"/>
          <w:szCs w:val="24"/>
        </w:rPr>
        <w:t>.</w:t>
      </w:r>
      <w:r w:rsidRPr="00803616">
        <w:rPr>
          <w:rFonts w:ascii="Times New Roman" w:hAnsi="Times New Roman"/>
          <w:sz w:val="24"/>
          <w:szCs w:val="24"/>
        </w:rPr>
        <w:t xml:space="preserve"> </w:t>
      </w:r>
      <w:r>
        <w:rPr>
          <w:rFonts w:ascii="Times New Roman" w:hAnsi="Times New Roman"/>
          <w:sz w:val="24"/>
          <w:szCs w:val="24"/>
        </w:rPr>
        <w:t xml:space="preserve">Here we have a veritable surfeit of sources – two references to the sexual behaviour of a senior churchman, but they differ. </w:t>
      </w:r>
    </w:p>
    <w:p w:rsidR="00E55532" w:rsidRDefault="00E55532" w:rsidP="00E55532">
      <w:pPr>
        <w:spacing w:after="0"/>
        <w:rPr>
          <w:rFonts w:ascii="Times New Roman" w:hAnsi="Times New Roman"/>
          <w:sz w:val="24"/>
          <w:szCs w:val="24"/>
        </w:rPr>
      </w:pPr>
    </w:p>
    <w:p w:rsidR="00E55532" w:rsidRDefault="00E55532" w:rsidP="00E55532">
      <w:pPr>
        <w:spacing w:after="0"/>
        <w:rPr>
          <w:rFonts w:ascii="Times New Roman" w:hAnsi="Times New Roman"/>
          <w:sz w:val="24"/>
          <w:szCs w:val="24"/>
        </w:rPr>
      </w:pPr>
      <w:r w:rsidRPr="006E18C2">
        <w:rPr>
          <w:rFonts w:ascii="Times New Roman" w:hAnsi="Times New Roman"/>
          <w:sz w:val="24"/>
          <w:szCs w:val="24"/>
        </w:rPr>
        <w:t xml:space="preserve">Geoffrey’s successor at Ely was William </w:t>
      </w:r>
      <w:proofErr w:type="spellStart"/>
      <w:r w:rsidRPr="006E18C2">
        <w:rPr>
          <w:rFonts w:ascii="Times New Roman" w:hAnsi="Times New Roman"/>
          <w:sz w:val="24"/>
          <w:szCs w:val="24"/>
        </w:rPr>
        <w:t>Longchamp</w:t>
      </w:r>
      <w:proofErr w:type="spellEnd"/>
      <w:r w:rsidRPr="006E18C2">
        <w:rPr>
          <w:rFonts w:ascii="Times New Roman" w:hAnsi="Times New Roman"/>
          <w:sz w:val="24"/>
          <w:szCs w:val="24"/>
        </w:rPr>
        <w:t xml:space="preserve">, of whom Gerald of Wales tells us </w:t>
      </w:r>
      <w:r>
        <w:rPr>
          <w:rFonts w:ascii="Times New Roman" w:hAnsi="Times New Roman"/>
          <w:sz w:val="24"/>
          <w:szCs w:val="24"/>
        </w:rPr>
        <w:t>‘</w:t>
      </w:r>
      <w:r w:rsidRPr="006E18C2">
        <w:rPr>
          <w:rFonts w:ascii="Times New Roman" w:hAnsi="Times New Roman"/>
          <w:i/>
          <w:sz w:val="24"/>
          <w:szCs w:val="24"/>
        </w:rPr>
        <w:t xml:space="preserve">he made homosexuality so common that heterosexuals were ridiculed at court </w:t>
      </w:r>
      <w:proofErr w:type="gramStart"/>
      <w:r w:rsidRPr="006E18C2">
        <w:rPr>
          <w:rFonts w:ascii="Times New Roman" w:hAnsi="Times New Roman"/>
          <w:i/>
          <w:sz w:val="24"/>
          <w:szCs w:val="24"/>
        </w:rPr>
        <w:t>and  that</w:t>
      </w:r>
      <w:proofErr w:type="gramEnd"/>
      <w:r w:rsidRPr="006E18C2">
        <w:rPr>
          <w:rFonts w:ascii="Times New Roman" w:hAnsi="Times New Roman"/>
          <w:i/>
          <w:sz w:val="24"/>
          <w:szCs w:val="24"/>
        </w:rPr>
        <w:t xml:space="preserve"> when the bishop undressed a young woman dressed as a man he wouldn’t touch her when he found she was a girl ‘although she was very beautiful and ripe for the pleasures of the marriage bed</w:t>
      </w:r>
      <w:r w:rsidRPr="006E18C2">
        <w:rPr>
          <w:rFonts w:ascii="Times New Roman" w:hAnsi="Times New Roman"/>
          <w:sz w:val="24"/>
          <w:szCs w:val="24"/>
        </w:rPr>
        <w:t>.</w:t>
      </w:r>
      <w:r>
        <w:rPr>
          <w:rFonts w:ascii="Times New Roman" w:hAnsi="Times New Roman"/>
          <w:sz w:val="24"/>
          <w:szCs w:val="24"/>
        </w:rPr>
        <w:t>’</w:t>
      </w:r>
      <w:r w:rsidRPr="006E18C2">
        <w:rPr>
          <w:rFonts w:ascii="Times New Roman" w:hAnsi="Times New Roman"/>
          <w:sz w:val="24"/>
          <w:szCs w:val="24"/>
        </w:rPr>
        <w:t>’</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E55532" w:rsidRDefault="00E55532" w:rsidP="00E55532">
      <w:pPr>
        <w:spacing w:after="0"/>
        <w:rPr>
          <w:rFonts w:ascii="Times New Roman" w:hAnsi="Times New Roman"/>
          <w:sz w:val="24"/>
          <w:szCs w:val="24"/>
        </w:rPr>
      </w:pPr>
    </w:p>
    <w:p w:rsidR="00E55532" w:rsidRDefault="00E55532" w:rsidP="00E55532">
      <w:pPr>
        <w:spacing w:after="0"/>
        <w:rPr>
          <w:rFonts w:ascii="Times New Roman" w:hAnsi="Times New Roman"/>
          <w:sz w:val="24"/>
          <w:szCs w:val="24"/>
        </w:rPr>
      </w:pPr>
      <w:r>
        <w:rPr>
          <w:rFonts w:ascii="Times New Roman" w:hAnsi="Times New Roman"/>
          <w:sz w:val="24"/>
          <w:szCs w:val="24"/>
        </w:rPr>
        <w:t xml:space="preserve">While many of Gerald’s most entertaining comments are about the commonality of clerical sexuality, and this is another one, it has to be borne in mind that he was presenting himself as the ‘reform’ candidate for Bishop of St </w:t>
      </w:r>
      <w:proofErr w:type="spellStart"/>
      <w:r>
        <w:rPr>
          <w:rFonts w:ascii="Times New Roman" w:hAnsi="Times New Roman"/>
          <w:sz w:val="24"/>
          <w:szCs w:val="24"/>
        </w:rPr>
        <w:t>Davids</w:t>
      </w:r>
      <w:proofErr w:type="spellEnd"/>
      <w:r>
        <w:rPr>
          <w:rFonts w:ascii="Times New Roman" w:hAnsi="Times New Roman"/>
          <w:sz w:val="24"/>
          <w:szCs w:val="24"/>
        </w:rPr>
        <w:t>, the man who would sweep away the existing corruption. It therefore served his purposes to expose as much of that corruption as possible!</w:t>
      </w:r>
    </w:p>
    <w:p w:rsidR="00E55532" w:rsidRDefault="00E55532" w:rsidP="00FF51F7">
      <w:pPr>
        <w:spacing w:after="0"/>
        <w:ind w:right="379"/>
        <w:rPr>
          <w:rFonts w:ascii="Times New Roman" w:hAnsi="Times New Roman"/>
          <w:sz w:val="24"/>
          <w:szCs w:val="24"/>
        </w:rPr>
      </w:pPr>
    </w:p>
    <w:p w:rsidR="00E55532" w:rsidRPr="00E55532" w:rsidRDefault="002D4AD0" w:rsidP="002D4AD0">
      <w:pPr>
        <w:spacing w:after="0"/>
        <w:ind w:right="379"/>
        <w:rPr>
          <w:rFonts w:ascii="Times New Roman" w:hAnsi="Times New Roman"/>
          <w:color w:val="FF0000"/>
          <w:sz w:val="24"/>
          <w:szCs w:val="24"/>
        </w:rPr>
      </w:pPr>
      <w:r>
        <w:rPr>
          <w:rFonts w:ascii="Times New Roman" w:hAnsi="Times New Roman"/>
          <w:sz w:val="24"/>
          <w:szCs w:val="24"/>
        </w:rPr>
        <w:t>Despite the problems with these methods, I was able to create a large spreadsheet of attested incontinence amongst the higher clergy. This is an example page....</w:t>
      </w:r>
    </w:p>
    <w:p w:rsidR="00517A1D" w:rsidRDefault="00517A1D" w:rsidP="00FF51F7">
      <w:pPr>
        <w:spacing w:after="0"/>
        <w:ind w:right="379"/>
        <w:rPr>
          <w:rFonts w:ascii="Times New Roman" w:hAnsi="Times New Roman"/>
          <w:sz w:val="24"/>
          <w:szCs w:val="24"/>
        </w:rPr>
      </w:pPr>
    </w:p>
    <w:p w:rsidR="00517A1D" w:rsidRPr="00612244" w:rsidRDefault="00E55532" w:rsidP="00FF51F7">
      <w:pPr>
        <w:spacing w:after="0"/>
        <w:ind w:right="379"/>
        <w:rPr>
          <w:rFonts w:ascii="Times New Roman" w:hAnsi="Times New Roman"/>
          <w:sz w:val="24"/>
          <w:szCs w:val="24"/>
        </w:rPr>
      </w:pPr>
      <w:r>
        <w:rPr>
          <w:rFonts w:ascii="Times New Roman" w:hAnsi="Times New Roman"/>
          <w:sz w:val="24"/>
          <w:szCs w:val="24"/>
        </w:rPr>
        <w:t xml:space="preserve">Collating these results created the following table. </w:t>
      </w:r>
      <w:r w:rsidR="00517A1D">
        <w:rPr>
          <w:rFonts w:ascii="Times New Roman" w:hAnsi="Times New Roman"/>
          <w:sz w:val="24"/>
          <w:szCs w:val="24"/>
        </w:rPr>
        <w:t xml:space="preserve"> It shows how many bishops in each 25 year period I deemed to be sexually incontinent, and the number of canons I identified as father of other canons across the same period. </w:t>
      </w:r>
    </w:p>
    <w:p w:rsidR="00FF51F7" w:rsidRPr="00612244" w:rsidRDefault="00FF51F7" w:rsidP="00FF51F7">
      <w:pPr>
        <w:spacing w:after="0"/>
        <w:ind w:right="379"/>
        <w:rPr>
          <w:rFonts w:ascii="Times New Roman" w:hAnsi="Times New Roman"/>
          <w:sz w:val="24"/>
          <w:szCs w:val="24"/>
        </w:rPr>
      </w:pPr>
    </w:p>
    <w:p w:rsidR="00FF51F7" w:rsidRPr="00612244" w:rsidRDefault="00FF51F7" w:rsidP="00FF51F7">
      <w:pPr>
        <w:spacing w:after="0"/>
        <w:ind w:right="379"/>
        <w:rPr>
          <w:rFonts w:ascii="Times New Roman" w:hAnsi="Times New Roman"/>
          <w:b/>
          <w:sz w:val="24"/>
          <w:szCs w:val="24"/>
        </w:rPr>
      </w:pPr>
      <w:r w:rsidRPr="00612244">
        <w:rPr>
          <w:rFonts w:ascii="Times New Roman" w:hAnsi="Times New Roman"/>
          <w:b/>
          <w:sz w:val="24"/>
          <w:szCs w:val="24"/>
        </w:rPr>
        <w:t>Table 2:</w:t>
      </w:r>
    </w:p>
    <w:p w:rsidR="00FF51F7" w:rsidRPr="00612244" w:rsidRDefault="00FF51F7" w:rsidP="00FF51F7">
      <w:pPr>
        <w:spacing w:after="0"/>
        <w:ind w:right="379"/>
        <w:rPr>
          <w:rFonts w:ascii="Times New Roman" w:hAnsi="Times New Roman"/>
          <w:b/>
          <w:sz w:val="24"/>
          <w:szCs w:val="24"/>
        </w:rPr>
      </w:pPr>
      <w:r w:rsidRPr="00612244">
        <w:rPr>
          <w:rFonts w:ascii="Times New Roman" w:hAnsi="Times New Roman"/>
          <w:b/>
          <w:sz w:val="24"/>
          <w:szCs w:val="24"/>
        </w:rPr>
        <w:t xml:space="preserve">Incontinent bishops and canons </w:t>
      </w:r>
    </w:p>
    <w:tbl>
      <w:tblPr>
        <w:tblW w:w="1029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1417"/>
        <w:gridCol w:w="1418"/>
        <w:gridCol w:w="1417"/>
        <w:gridCol w:w="1418"/>
        <w:gridCol w:w="1363"/>
      </w:tblGrid>
      <w:tr w:rsidR="00FF51F7" w:rsidRPr="00612244" w:rsidTr="00517A1D">
        <w:tc>
          <w:tcPr>
            <w:tcW w:w="1985" w:type="dxa"/>
          </w:tcPr>
          <w:p w:rsidR="00FF51F7" w:rsidRPr="00612244" w:rsidRDefault="00FF51F7" w:rsidP="00517A1D">
            <w:pPr>
              <w:ind w:left="426" w:right="379"/>
              <w:rPr>
                <w:rFonts w:ascii="Times New Roman" w:hAnsi="Times New Roman"/>
                <w:b/>
              </w:rPr>
            </w:pPr>
          </w:p>
        </w:tc>
        <w:tc>
          <w:tcPr>
            <w:tcW w:w="1276" w:type="dxa"/>
          </w:tcPr>
          <w:p w:rsidR="00FF51F7" w:rsidRPr="00612244" w:rsidRDefault="00FF51F7" w:rsidP="00517A1D">
            <w:pPr>
              <w:ind w:left="68" w:right="122"/>
              <w:rPr>
                <w:rFonts w:ascii="Times New Roman" w:hAnsi="Times New Roman"/>
                <w:b/>
              </w:rPr>
            </w:pPr>
            <w:r w:rsidRPr="00612244">
              <w:rPr>
                <w:rFonts w:ascii="Times New Roman" w:hAnsi="Times New Roman"/>
                <w:b/>
              </w:rPr>
              <w:t>1070-95</w:t>
            </w:r>
          </w:p>
        </w:tc>
        <w:tc>
          <w:tcPr>
            <w:tcW w:w="1417" w:type="dxa"/>
          </w:tcPr>
          <w:p w:rsidR="00FF51F7" w:rsidRPr="00612244" w:rsidRDefault="00FF51F7" w:rsidP="00517A1D">
            <w:pPr>
              <w:ind w:left="426" w:right="379" w:hanging="338"/>
              <w:rPr>
                <w:rFonts w:ascii="Times New Roman" w:hAnsi="Times New Roman"/>
                <w:b/>
              </w:rPr>
            </w:pPr>
            <w:r w:rsidRPr="00612244">
              <w:rPr>
                <w:rFonts w:ascii="Times New Roman" w:hAnsi="Times New Roman"/>
                <w:b/>
              </w:rPr>
              <w:t>1096-20</w:t>
            </w:r>
          </w:p>
        </w:tc>
        <w:tc>
          <w:tcPr>
            <w:tcW w:w="1418" w:type="dxa"/>
          </w:tcPr>
          <w:p w:rsidR="00FF51F7" w:rsidRPr="00612244" w:rsidRDefault="00FF51F7" w:rsidP="00517A1D">
            <w:pPr>
              <w:ind w:left="426" w:right="379" w:hanging="338"/>
              <w:rPr>
                <w:rFonts w:ascii="Times New Roman" w:hAnsi="Times New Roman"/>
                <w:b/>
              </w:rPr>
            </w:pPr>
            <w:r w:rsidRPr="00612244">
              <w:rPr>
                <w:rFonts w:ascii="Times New Roman" w:hAnsi="Times New Roman"/>
                <w:b/>
              </w:rPr>
              <w:t>1121-45</w:t>
            </w:r>
          </w:p>
        </w:tc>
        <w:tc>
          <w:tcPr>
            <w:tcW w:w="1417" w:type="dxa"/>
          </w:tcPr>
          <w:p w:rsidR="00FF51F7" w:rsidRPr="00612244" w:rsidRDefault="00FF51F7" w:rsidP="00517A1D">
            <w:pPr>
              <w:ind w:left="426" w:right="379" w:hanging="339"/>
              <w:rPr>
                <w:rFonts w:ascii="Times New Roman" w:hAnsi="Times New Roman"/>
                <w:b/>
              </w:rPr>
            </w:pPr>
            <w:r w:rsidRPr="00612244">
              <w:rPr>
                <w:rFonts w:ascii="Times New Roman" w:hAnsi="Times New Roman"/>
                <w:b/>
              </w:rPr>
              <w:t>1146-70</w:t>
            </w:r>
          </w:p>
        </w:tc>
        <w:tc>
          <w:tcPr>
            <w:tcW w:w="1418" w:type="dxa"/>
          </w:tcPr>
          <w:p w:rsidR="00FF51F7" w:rsidRPr="00612244" w:rsidRDefault="00FF51F7" w:rsidP="00517A1D">
            <w:pPr>
              <w:ind w:left="-85" w:right="379" w:firstLine="88"/>
              <w:rPr>
                <w:rFonts w:ascii="Times New Roman" w:hAnsi="Times New Roman"/>
                <w:b/>
              </w:rPr>
            </w:pPr>
            <w:r w:rsidRPr="00612244">
              <w:rPr>
                <w:rFonts w:ascii="Times New Roman" w:hAnsi="Times New Roman"/>
                <w:b/>
              </w:rPr>
              <w:t>1171-95</w:t>
            </w:r>
          </w:p>
        </w:tc>
        <w:tc>
          <w:tcPr>
            <w:tcW w:w="1363" w:type="dxa"/>
          </w:tcPr>
          <w:p w:rsidR="00FF51F7" w:rsidRPr="00612244" w:rsidRDefault="00FF51F7" w:rsidP="00517A1D">
            <w:pPr>
              <w:ind w:left="426" w:right="263" w:hanging="339"/>
              <w:rPr>
                <w:rFonts w:ascii="Times New Roman" w:hAnsi="Times New Roman"/>
                <w:b/>
              </w:rPr>
            </w:pPr>
            <w:r w:rsidRPr="00612244">
              <w:rPr>
                <w:rFonts w:ascii="Times New Roman" w:hAnsi="Times New Roman"/>
                <w:b/>
              </w:rPr>
              <w:t xml:space="preserve">TOTAL </w:t>
            </w:r>
          </w:p>
        </w:tc>
      </w:tr>
      <w:tr w:rsidR="00FF51F7" w:rsidRPr="00612244" w:rsidTr="00517A1D">
        <w:tc>
          <w:tcPr>
            <w:tcW w:w="1985" w:type="dxa"/>
          </w:tcPr>
          <w:p w:rsidR="00FF51F7" w:rsidRPr="00612244" w:rsidRDefault="00FF51F7" w:rsidP="00517A1D">
            <w:pPr>
              <w:tabs>
                <w:tab w:val="right" w:pos="1452"/>
              </w:tabs>
              <w:spacing w:before="100" w:beforeAutospacing="1" w:after="100" w:afterAutospacing="1"/>
              <w:ind w:left="175" w:right="141"/>
              <w:rPr>
                <w:rFonts w:ascii="Times New Roman" w:hAnsi="Times New Roman"/>
                <w:b/>
              </w:rPr>
            </w:pPr>
            <w:r w:rsidRPr="00612244">
              <w:rPr>
                <w:rFonts w:ascii="Times New Roman" w:hAnsi="Times New Roman"/>
                <w:b/>
              </w:rPr>
              <w:t>Total no. of bishops appointed</w:t>
            </w:r>
          </w:p>
        </w:tc>
        <w:tc>
          <w:tcPr>
            <w:tcW w:w="1276" w:type="dxa"/>
          </w:tcPr>
          <w:p w:rsidR="00FF51F7" w:rsidRPr="00612244" w:rsidRDefault="00FF51F7" w:rsidP="00517A1D">
            <w:pPr>
              <w:spacing w:before="100" w:beforeAutospacing="1" w:after="100" w:afterAutospacing="1"/>
              <w:ind w:left="426" w:right="379" w:hanging="358"/>
              <w:rPr>
                <w:rFonts w:ascii="Times New Roman" w:hAnsi="Times New Roman"/>
              </w:rPr>
            </w:pPr>
            <w:r w:rsidRPr="00612244">
              <w:rPr>
                <w:rFonts w:ascii="Times New Roman" w:hAnsi="Times New Roman"/>
              </w:rPr>
              <w:t>38</w:t>
            </w:r>
          </w:p>
        </w:tc>
        <w:tc>
          <w:tcPr>
            <w:tcW w:w="1417" w:type="dxa"/>
          </w:tcPr>
          <w:p w:rsidR="00FF51F7" w:rsidRPr="00612244" w:rsidRDefault="00FF51F7" w:rsidP="00517A1D">
            <w:pPr>
              <w:spacing w:before="100" w:beforeAutospacing="1" w:after="100" w:afterAutospacing="1"/>
              <w:ind w:left="426" w:right="379" w:hanging="338"/>
              <w:rPr>
                <w:rFonts w:ascii="Times New Roman" w:hAnsi="Times New Roman"/>
              </w:rPr>
            </w:pPr>
            <w:r w:rsidRPr="00612244">
              <w:rPr>
                <w:rFonts w:ascii="Times New Roman" w:hAnsi="Times New Roman"/>
              </w:rPr>
              <w:t>18</w:t>
            </w:r>
          </w:p>
        </w:tc>
        <w:tc>
          <w:tcPr>
            <w:tcW w:w="1418" w:type="dxa"/>
          </w:tcPr>
          <w:p w:rsidR="00FF51F7" w:rsidRPr="00612244" w:rsidRDefault="00FF51F7" w:rsidP="00517A1D">
            <w:pPr>
              <w:spacing w:before="100" w:beforeAutospacing="1" w:after="100" w:afterAutospacing="1"/>
              <w:ind w:left="426" w:right="379" w:hanging="338"/>
              <w:rPr>
                <w:rFonts w:ascii="Times New Roman" w:hAnsi="Times New Roman"/>
              </w:rPr>
            </w:pPr>
            <w:r w:rsidRPr="00612244">
              <w:rPr>
                <w:rFonts w:ascii="Times New Roman" w:hAnsi="Times New Roman"/>
              </w:rPr>
              <w:t>30</w:t>
            </w:r>
          </w:p>
        </w:tc>
        <w:tc>
          <w:tcPr>
            <w:tcW w:w="1417" w:type="dxa"/>
          </w:tcPr>
          <w:p w:rsidR="00FF51F7" w:rsidRPr="00612244" w:rsidRDefault="00FF51F7" w:rsidP="00517A1D">
            <w:pPr>
              <w:spacing w:before="100" w:beforeAutospacing="1" w:after="100" w:afterAutospacing="1"/>
              <w:ind w:left="426" w:right="379" w:hanging="339"/>
              <w:rPr>
                <w:rFonts w:ascii="Times New Roman" w:hAnsi="Times New Roman"/>
              </w:rPr>
            </w:pPr>
            <w:r w:rsidRPr="00612244">
              <w:rPr>
                <w:rFonts w:ascii="Times New Roman" w:hAnsi="Times New Roman"/>
              </w:rPr>
              <w:t>22</w:t>
            </w:r>
          </w:p>
        </w:tc>
        <w:tc>
          <w:tcPr>
            <w:tcW w:w="1418" w:type="dxa"/>
          </w:tcPr>
          <w:p w:rsidR="00FF51F7" w:rsidRPr="00612244" w:rsidRDefault="00FF51F7" w:rsidP="00517A1D">
            <w:pPr>
              <w:spacing w:before="100" w:beforeAutospacing="1" w:after="100" w:afterAutospacing="1"/>
              <w:ind w:left="-85" w:right="379" w:firstLine="88"/>
              <w:rPr>
                <w:rFonts w:ascii="Times New Roman" w:hAnsi="Times New Roman"/>
              </w:rPr>
            </w:pPr>
            <w:r w:rsidRPr="00612244">
              <w:rPr>
                <w:rFonts w:ascii="Times New Roman" w:hAnsi="Times New Roman"/>
              </w:rPr>
              <w:t>35</w:t>
            </w:r>
          </w:p>
        </w:tc>
        <w:tc>
          <w:tcPr>
            <w:tcW w:w="1363" w:type="dxa"/>
          </w:tcPr>
          <w:p w:rsidR="00FF51F7" w:rsidRPr="00612244" w:rsidRDefault="00FF51F7" w:rsidP="00517A1D">
            <w:pPr>
              <w:spacing w:before="100" w:beforeAutospacing="1" w:after="100" w:afterAutospacing="1"/>
              <w:ind w:left="426" w:right="379" w:hanging="339"/>
              <w:rPr>
                <w:rFonts w:ascii="Times New Roman" w:hAnsi="Times New Roman"/>
              </w:rPr>
            </w:pPr>
            <w:r w:rsidRPr="00612244">
              <w:rPr>
                <w:rFonts w:ascii="Times New Roman" w:hAnsi="Times New Roman"/>
              </w:rPr>
              <w:t>143</w:t>
            </w:r>
          </w:p>
        </w:tc>
      </w:tr>
      <w:tr w:rsidR="00FF51F7" w:rsidRPr="00612244" w:rsidTr="00517A1D">
        <w:tc>
          <w:tcPr>
            <w:tcW w:w="1985" w:type="dxa"/>
          </w:tcPr>
          <w:p w:rsidR="00FF51F7" w:rsidRPr="00612244" w:rsidRDefault="00FF51F7" w:rsidP="00517A1D">
            <w:pPr>
              <w:tabs>
                <w:tab w:val="right" w:pos="1452"/>
              </w:tabs>
              <w:spacing w:before="100" w:beforeAutospacing="1" w:after="100" w:afterAutospacing="1"/>
              <w:ind w:left="175" w:right="141"/>
              <w:rPr>
                <w:rFonts w:ascii="Times New Roman" w:hAnsi="Times New Roman"/>
                <w:b/>
              </w:rPr>
            </w:pPr>
            <w:r w:rsidRPr="00612244">
              <w:rPr>
                <w:rFonts w:ascii="Times New Roman" w:hAnsi="Times New Roman"/>
                <w:b/>
              </w:rPr>
              <w:t>Incontinent</w:t>
            </w:r>
          </w:p>
        </w:tc>
        <w:tc>
          <w:tcPr>
            <w:tcW w:w="1276" w:type="dxa"/>
          </w:tcPr>
          <w:p w:rsidR="00FF51F7" w:rsidRPr="00612244" w:rsidRDefault="00FF51F7" w:rsidP="00517A1D">
            <w:pPr>
              <w:spacing w:before="100" w:beforeAutospacing="1" w:after="100" w:afterAutospacing="1"/>
              <w:ind w:left="426" w:right="379" w:hanging="358"/>
              <w:rPr>
                <w:rFonts w:ascii="Times New Roman" w:hAnsi="Times New Roman"/>
              </w:rPr>
            </w:pPr>
            <w:r w:rsidRPr="00612244">
              <w:rPr>
                <w:rFonts w:ascii="Times New Roman" w:hAnsi="Times New Roman"/>
              </w:rPr>
              <w:t>9</w:t>
            </w:r>
          </w:p>
        </w:tc>
        <w:tc>
          <w:tcPr>
            <w:tcW w:w="1417" w:type="dxa"/>
          </w:tcPr>
          <w:p w:rsidR="00FF51F7" w:rsidRPr="00612244" w:rsidRDefault="00FF51F7" w:rsidP="00517A1D">
            <w:pPr>
              <w:spacing w:before="100" w:beforeAutospacing="1" w:after="100" w:afterAutospacing="1"/>
              <w:ind w:left="426" w:right="379" w:hanging="338"/>
              <w:rPr>
                <w:rFonts w:ascii="Times New Roman" w:hAnsi="Times New Roman"/>
              </w:rPr>
            </w:pPr>
            <w:r w:rsidRPr="00612244">
              <w:rPr>
                <w:rFonts w:ascii="Times New Roman" w:hAnsi="Times New Roman"/>
              </w:rPr>
              <w:t>5</w:t>
            </w:r>
          </w:p>
        </w:tc>
        <w:tc>
          <w:tcPr>
            <w:tcW w:w="1418" w:type="dxa"/>
          </w:tcPr>
          <w:p w:rsidR="00FF51F7" w:rsidRPr="00612244" w:rsidRDefault="00FF51F7" w:rsidP="00517A1D">
            <w:pPr>
              <w:spacing w:before="100" w:beforeAutospacing="1" w:after="100" w:afterAutospacing="1"/>
              <w:ind w:left="426" w:right="379" w:hanging="338"/>
              <w:rPr>
                <w:rFonts w:ascii="Times New Roman" w:hAnsi="Times New Roman"/>
              </w:rPr>
            </w:pPr>
            <w:r w:rsidRPr="00612244">
              <w:rPr>
                <w:rFonts w:ascii="Times New Roman" w:hAnsi="Times New Roman"/>
              </w:rPr>
              <w:t>10</w:t>
            </w:r>
          </w:p>
        </w:tc>
        <w:tc>
          <w:tcPr>
            <w:tcW w:w="1417" w:type="dxa"/>
          </w:tcPr>
          <w:p w:rsidR="00FF51F7" w:rsidRPr="00612244" w:rsidRDefault="00FF51F7" w:rsidP="00517A1D">
            <w:pPr>
              <w:spacing w:before="100" w:beforeAutospacing="1" w:after="100" w:afterAutospacing="1"/>
              <w:ind w:left="426" w:right="379" w:hanging="339"/>
              <w:rPr>
                <w:rFonts w:ascii="Times New Roman" w:hAnsi="Times New Roman"/>
              </w:rPr>
            </w:pPr>
            <w:r w:rsidRPr="00612244">
              <w:rPr>
                <w:rFonts w:ascii="Times New Roman" w:hAnsi="Times New Roman"/>
              </w:rPr>
              <w:t>3</w:t>
            </w:r>
          </w:p>
        </w:tc>
        <w:tc>
          <w:tcPr>
            <w:tcW w:w="1418" w:type="dxa"/>
          </w:tcPr>
          <w:p w:rsidR="00FF51F7" w:rsidRPr="00612244" w:rsidRDefault="00FF51F7" w:rsidP="00517A1D">
            <w:pPr>
              <w:spacing w:before="100" w:beforeAutospacing="1" w:after="100" w:afterAutospacing="1"/>
              <w:ind w:left="-85" w:right="379" w:firstLine="88"/>
              <w:rPr>
                <w:rFonts w:ascii="Times New Roman" w:hAnsi="Times New Roman"/>
              </w:rPr>
            </w:pPr>
            <w:r w:rsidRPr="00612244">
              <w:rPr>
                <w:rFonts w:ascii="Times New Roman" w:hAnsi="Times New Roman"/>
              </w:rPr>
              <w:t>6</w:t>
            </w:r>
          </w:p>
        </w:tc>
        <w:tc>
          <w:tcPr>
            <w:tcW w:w="1363" w:type="dxa"/>
          </w:tcPr>
          <w:p w:rsidR="00FF51F7" w:rsidRPr="00612244" w:rsidRDefault="00FF51F7" w:rsidP="00517A1D">
            <w:pPr>
              <w:spacing w:before="100" w:beforeAutospacing="1" w:after="100" w:afterAutospacing="1"/>
              <w:ind w:left="426" w:right="379" w:hanging="339"/>
              <w:rPr>
                <w:rFonts w:ascii="Times New Roman" w:hAnsi="Times New Roman"/>
              </w:rPr>
            </w:pPr>
            <w:r w:rsidRPr="00612244">
              <w:rPr>
                <w:rFonts w:ascii="Times New Roman" w:hAnsi="Times New Roman"/>
              </w:rPr>
              <w:t>33</w:t>
            </w:r>
          </w:p>
        </w:tc>
      </w:tr>
      <w:tr w:rsidR="00FF51F7" w:rsidRPr="00612244" w:rsidTr="00517A1D">
        <w:tc>
          <w:tcPr>
            <w:tcW w:w="1985" w:type="dxa"/>
          </w:tcPr>
          <w:p w:rsidR="00FF51F7" w:rsidRPr="00612244" w:rsidRDefault="00FF51F7" w:rsidP="00517A1D">
            <w:pPr>
              <w:tabs>
                <w:tab w:val="right" w:pos="1452"/>
              </w:tabs>
              <w:spacing w:before="100" w:beforeAutospacing="1" w:after="100" w:afterAutospacing="1"/>
              <w:ind w:left="175" w:right="141"/>
              <w:rPr>
                <w:rFonts w:ascii="Times New Roman" w:hAnsi="Times New Roman"/>
                <w:b/>
              </w:rPr>
            </w:pPr>
            <w:r w:rsidRPr="00612244">
              <w:rPr>
                <w:rFonts w:ascii="Times New Roman" w:hAnsi="Times New Roman"/>
                <w:b/>
              </w:rPr>
              <w:t>% incontinent bishops</w:t>
            </w:r>
          </w:p>
        </w:tc>
        <w:tc>
          <w:tcPr>
            <w:tcW w:w="1276" w:type="dxa"/>
          </w:tcPr>
          <w:p w:rsidR="00FF51F7" w:rsidRPr="00612244" w:rsidRDefault="00FF51F7" w:rsidP="00517A1D">
            <w:pPr>
              <w:spacing w:before="100" w:beforeAutospacing="1" w:after="100" w:afterAutospacing="1"/>
              <w:ind w:left="426" w:right="379" w:hanging="358"/>
              <w:rPr>
                <w:rFonts w:ascii="Times New Roman" w:hAnsi="Times New Roman"/>
                <w:b/>
              </w:rPr>
            </w:pPr>
            <w:r w:rsidRPr="00612244">
              <w:rPr>
                <w:rFonts w:ascii="Times New Roman" w:hAnsi="Times New Roman"/>
                <w:b/>
              </w:rPr>
              <w:t>24%</w:t>
            </w:r>
          </w:p>
        </w:tc>
        <w:tc>
          <w:tcPr>
            <w:tcW w:w="1417" w:type="dxa"/>
          </w:tcPr>
          <w:p w:rsidR="00FF51F7" w:rsidRPr="00612244" w:rsidRDefault="00FF51F7" w:rsidP="00517A1D">
            <w:pPr>
              <w:spacing w:before="100" w:beforeAutospacing="1" w:after="100" w:afterAutospacing="1"/>
              <w:ind w:left="426" w:right="379" w:hanging="338"/>
              <w:rPr>
                <w:rFonts w:ascii="Times New Roman" w:hAnsi="Times New Roman"/>
                <w:b/>
              </w:rPr>
            </w:pPr>
            <w:r w:rsidRPr="00612244">
              <w:rPr>
                <w:rFonts w:ascii="Times New Roman" w:hAnsi="Times New Roman"/>
                <w:b/>
              </w:rPr>
              <w:t>28%</w:t>
            </w:r>
          </w:p>
        </w:tc>
        <w:tc>
          <w:tcPr>
            <w:tcW w:w="1418" w:type="dxa"/>
          </w:tcPr>
          <w:p w:rsidR="00FF51F7" w:rsidRPr="00612244" w:rsidRDefault="00FF51F7" w:rsidP="00517A1D">
            <w:pPr>
              <w:spacing w:before="100" w:beforeAutospacing="1" w:after="100" w:afterAutospacing="1"/>
              <w:ind w:left="426" w:right="379" w:hanging="338"/>
              <w:rPr>
                <w:rFonts w:ascii="Times New Roman" w:hAnsi="Times New Roman"/>
                <w:b/>
              </w:rPr>
            </w:pPr>
            <w:r w:rsidRPr="00612244">
              <w:rPr>
                <w:rFonts w:ascii="Times New Roman" w:hAnsi="Times New Roman"/>
                <w:b/>
              </w:rPr>
              <w:t>33%</w:t>
            </w:r>
          </w:p>
        </w:tc>
        <w:tc>
          <w:tcPr>
            <w:tcW w:w="1417" w:type="dxa"/>
          </w:tcPr>
          <w:p w:rsidR="00FF51F7" w:rsidRPr="00612244" w:rsidRDefault="00FF51F7" w:rsidP="00517A1D">
            <w:pPr>
              <w:spacing w:before="100" w:beforeAutospacing="1" w:after="100" w:afterAutospacing="1"/>
              <w:ind w:left="426" w:right="379" w:hanging="339"/>
              <w:rPr>
                <w:rFonts w:ascii="Times New Roman" w:hAnsi="Times New Roman"/>
                <w:b/>
              </w:rPr>
            </w:pPr>
            <w:r w:rsidRPr="00612244">
              <w:rPr>
                <w:rFonts w:ascii="Times New Roman" w:hAnsi="Times New Roman"/>
                <w:b/>
              </w:rPr>
              <w:t>14%</w:t>
            </w:r>
          </w:p>
        </w:tc>
        <w:tc>
          <w:tcPr>
            <w:tcW w:w="1418" w:type="dxa"/>
          </w:tcPr>
          <w:p w:rsidR="00FF51F7" w:rsidRPr="00612244" w:rsidRDefault="00FF51F7" w:rsidP="00517A1D">
            <w:pPr>
              <w:spacing w:before="100" w:beforeAutospacing="1" w:after="100" w:afterAutospacing="1"/>
              <w:ind w:left="-85" w:right="379" w:firstLine="88"/>
              <w:rPr>
                <w:rFonts w:ascii="Times New Roman" w:hAnsi="Times New Roman"/>
                <w:b/>
              </w:rPr>
            </w:pPr>
            <w:r w:rsidRPr="00612244">
              <w:rPr>
                <w:rFonts w:ascii="Times New Roman" w:hAnsi="Times New Roman"/>
                <w:b/>
              </w:rPr>
              <w:t>17%</w:t>
            </w:r>
          </w:p>
        </w:tc>
        <w:tc>
          <w:tcPr>
            <w:tcW w:w="1363" w:type="dxa"/>
          </w:tcPr>
          <w:p w:rsidR="00FF51F7" w:rsidRPr="00612244" w:rsidRDefault="00FF51F7" w:rsidP="00517A1D">
            <w:pPr>
              <w:spacing w:before="100" w:beforeAutospacing="1" w:after="100" w:afterAutospacing="1"/>
              <w:ind w:left="426" w:right="379" w:hanging="339"/>
              <w:rPr>
                <w:rFonts w:ascii="Times New Roman" w:hAnsi="Times New Roman"/>
                <w:b/>
              </w:rPr>
            </w:pPr>
            <w:r w:rsidRPr="00612244">
              <w:rPr>
                <w:rFonts w:ascii="Times New Roman" w:hAnsi="Times New Roman"/>
                <w:b/>
              </w:rPr>
              <w:t>23%</w:t>
            </w:r>
          </w:p>
        </w:tc>
      </w:tr>
      <w:tr w:rsidR="00FF51F7" w:rsidRPr="00612244" w:rsidTr="00517A1D">
        <w:trPr>
          <w:trHeight w:val="82"/>
        </w:trPr>
        <w:tc>
          <w:tcPr>
            <w:tcW w:w="1985" w:type="dxa"/>
          </w:tcPr>
          <w:p w:rsidR="00FF51F7" w:rsidRPr="00612244" w:rsidRDefault="00FF51F7" w:rsidP="00517A1D">
            <w:pPr>
              <w:tabs>
                <w:tab w:val="right" w:pos="1452"/>
              </w:tabs>
              <w:spacing w:before="100" w:beforeAutospacing="1" w:after="100" w:afterAutospacing="1"/>
              <w:ind w:left="175" w:right="141"/>
              <w:rPr>
                <w:rFonts w:ascii="Times New Roman" w:hAnsi="Times New Roman"/>
                <w:b/>
              </w:rPr>
            </w:pPr>
          </w:p>
        </w:tc>
        <w:tc>
          <w:tcPr>
            <w:tcW w:w="1276" w:type="dxa"/>
          </w:tcPr>
          <w:p w:rsidR="00FF51F7" w:rsidRPr="00612244" w:rsidRDefault="00FF51F7" w:rsidP="00517A1D">
            <w:pPr>
              <w:spacing w:before="100" w:beforeAutospacing="1" w:after="100" w:afterAutospacing="1"/>
              <w:ind w:left="426" w:right="379" w:hanging="358"/>
              <w:rPr>
                <w:rFonts w:ascii="Times New Roman" w:hAnsi="Times New Roman"/>
              </w:rPr>
            </w:pPr>
          </w:p>
        </w:tc>
        <w:tc>
          <w:tcPr>
            <w:tcW w:w="1417" w:type="dxa"/>
          </w:tcPr>
          <w:p w:rsidR="00FF51F7" w:rsidRPr="00612244" w:rsidRDefault="00FF51F7" w:rsidP="00517A1D">
            <w:pPr>
              <w:spacing w:before="100" w:beforeAutospacing="1" w:after="100" w:afterAutospacing="1"/>
              <w:ind w:left="426" w:right="379" w:hanging="338"/>
              <w:rPr>
                <w:rFonts w:ascii="Times New Roman" w:hAnsi="Times New Roman"/>
              </w:rPr>
            </w:pPr>
          </w:p>
        </w:tc>
        <w:tc>
          <w:tcPr>
            <w:tcW w:w="1418" w:type="dxa"/>
          </w:tcPr>
          <w:p w:rsidR="00FF51F7" w:rsidRPr="00612244" w:rsidRDefault="00FF51F7" w:rsidP="00517A1D">
            <w:pPr>
              <w:spacing w:before="100" w:beforeAutospacing="1" w:after="100" w:afterAutospacing="1"/>
              <w:ind w:left="426" w:right="379" w:hanging="338"/>
              <w:rPr>
                <w:rFonts w:ascii="Times New Roman" w:hAnsi="Times New Roman"/>
              </w:rPr>
            </w:pPr>
          </w:p>
        </w:tc>
        <w:tc>
          <w:tcPr>
            <w:tcW w:w="1417" w:type="dxa"/>
          </w:tcPr>
          <w:p w:rsidR="00FF51F7" w:rsidRPr="00612244" w:rsidRDefault="00FF51F7" w:rsidP="00517A1D">
            <w:pPr>
              <w:spacing w:before="100" w:beforeAutospacing="1" w:after="100" w:afterAutospacing="1"/>
              <w:ind w:left="426" w:right="379" w:hanging="339"/>
              <w:rPr>
                <w:rFonts w:ascii="Times New Roman" w:hAnsi="Times New Roman"/>
              </w:rPr>
            </w:pPr>
          </w:p>
        </w:tc>
        <w:tc>
          <w:tcPr>
            <w:tcW w:w="1418" w:type="dxa"/>
          </w:tcPr>
          <w:p w:rsidR="00FF51F7" w:rsidRPr="00612244" w:rsidRDefault="00FF51F7" w:rsidP="00517A1D">
            <w:pPr>
              <w:spacing w:before="100" w:beforeAutospacing="1" w:after="100" w:afterAutospacing="1"/>
              <w:ind w:left="-85" w:right="379" w:firstLine="88"/>
              <w:rPr>
                <w:rFonts w:ascii="Times New Roman" w:hAnsi="Times New Roman"/>
              </w:rPr>
            </w:pPr>
          </w:p>
        </w:tc>
        <w:tc>
          <w:tcPr>
            <w:tcW w:w="1363" w:type="dxa"/>
          </w:tcPr>
          <w:p w:rsidR="00FF51F7" w:rsidRPr="00612244" w:rsidRDefault="00FF51F7" w:rsidP="00517A1D">
            <w:pPr>
              <w:spacing w:before="100" w:beforeAutospacing="1" w:after="100" w:afterAutospacing="1"/>
              <w:ind w:left="426" w:right="379" w:hanging="339"/>
              <w:rPr>
                <w:rFonts w:ascii="Times New Roman" w:hAnsi="Times New Roman"/>
              </w:rPr>
            </w:pPr>
          </w:p>
        </w:tc>
      </w:tr>
      <w:tr w:rsidR="00FF51F7" w:rsidRPr="00612244" w:rsidTr="00517A1D">
        <w:tc>
          <w:tcPr>
            <w:tcW w:w="1985" w:type="dxa"/>
          </w:tcPr>
          <w:p w:rsidR="00FF51F7" w:rsidRPr="00612244" w:rsidRDefault="00FF51F7" w:rsidP="00517A1D">
            <w:pPr>
              <w:tabs>
                <w:tab w:val="right" w:pos="1452"/>
              </w:tabs>
              <w:spacing w:before="100" w:beforeAutospacing="1" w:after="100" w:afterAutospacing="1"/>
              <w:ind w:left="175" w:right="141"/>
              <w:rPr>
                <w:rFonts w:ascii="Times New Roman" w:hAnsi="Times New Roman"/>
                <w:b/>
              </w:rPr>
            </w:pPr>
            <w:r w:rsidRPr="00612244">
              <w:rPr>
                <w:rFonts w:ascii="Times New Roman" w:hAnsi="Times New Roman"/>
                <w:b/>
              </w:rPr>
              <w:t>Total no. of incontinent canons</w:t>
            </w:r>
          </w:p>
        </w:tc>
        <w:tc>
          <w:tcPr>
            <w:tcW w:w="1276" w:type="dxa"/>
          </w:tcPr>
          <w:p w:rsidR="00FF51F7" w:rsidRPr="00612244" w:rsidRDefault="00FF51F7" w:rsidP="00517A1D">
            <w:pPr>
              <w:spacing w:before="100" w:beforeAutospacing="1" w:after="100" w:afterAutospacing="1"/>
              <w:ind w:left="426" w:right="379" w:hanging="358"/>
              <w:rPr>
                <w:rFonts w:ascii="Times New Roman" w:hAnsi="Times New Roman"/>
              </w:rPr>
            </w:pPr>
            <w:r w:rsidRPr="00612244">
              <w:rPr>
                <w:rFonts w:ascii="Times New Roman" w:hAnsi="Times New Roman"/>
              </w:rPr>
              <w:t>9</w:t>
            </w:r>
          </w:p>
        </w:tc>
        <w:tc>
          <w:tcPr>
            <w:tcW w:w="1417" w:type="dxa"/>
          </w:tcPr>
          <w:p w:rsidR="00FF51F7" w:rsidRPr="00612244" w:rsidRDefault="00FF51F7" w:rsidP="00517A1D">
            <w:pPr>
              <w:spacing w:before="100" w:beforeAutospacing="1" w:after="100" w:afterAutospacing="1"/>
              <w:ind w:left="426" w:right="379" w:hanging="338"/>
              <w:rPr>
                <w:rFonts w:ascii="Times New Roman" w:hAnsi="Times New Roman"/>
              </w:rPr>
            </w:pPr>
            <w:r w:rsidRPr="00612244">
              <w:rPr>
                <w:rFonts w:ascii="Times New Roman" w:hAnsi="Times New Roman"/>
              </w:rPr>
              <w:t>16</w:t>
            </w:r>
          </w:p>
        </w:tc>
        <w:tc>
          <w:tcPr>
            <w:tcW w:w="1418" w:type="dxa"/>
          </w:tcPr>
          <w:p w:rsidR="00FF51F7" w:rsidRPr="00612244" w:rsidRDefault="00FF51F7" w:rsidP="00517A1D">
            <w:pPr>
              <w:spacing w:before="100" w:beforeAutospacing="1" w:after="100" w:afterAutospacing="1"/>
              <w:ind w:left="426" w:right="379" w:hanging="338"/>
              <w:rPr>
                <w:rFonts w:ascii="Times New Roman" w:hAnsi="Times New Roman"/>
              </w:rPr>
            </w:pPr>
            <w:r w:rsidRPr="00612244">
              <w:rPr>
                <w:rFonts w:ascii="Times New Roman" w:hAnsi="Times New Roman"/>
              </w:rPr>
              <w:t>20</w:t>
            </w:r>
          </w:p>
        </w:tc>
        <w:tc>
          <w:tcPr>
            <w:tcW w:w="1417" w:type="dxa"/>
          </w:tcPr>
          <w:p w:rsidR="00FF51F7" w:rsidRPr="00612244" w:rsidRDefault="00FF51F7" w:rsidP="00517A1D">
            <w:pPr>
              <w:spacing w:before="100" w:beforeAutospacing="1" w:after="100" w:afterAutospacing="1"/>
              <w:ind w:left="426" w:right="379" w:hanging="339"/>
              <w:rPr>
                <w:rFonts w:ascii="Times New Roman" w:hAnsi="Times New Roman"/>
              </w:rPr>
            </w:pPr>
            <w:r w:rsidRPr="00612244">
              <w:rPr>
                <w:rFonts w:ascii="Times New Roman" w:hAnsi="Times New Roman"/>
              </w:rPr>
              <w:t>13</w:t>
            </w:r>
          </w:p>
        </w:tc>
        <w:tc>
          <w:tcPr>
            <w:tcW w:w="1418" w:type="dxa"/>
          </w:tcPr>
          <w:p w:rsidR="00FF51F7" w:rsidRPr="00612244" w:rsidRDefault="00FF51F7" w:rsidP="00517A1D">
            <w:pPr>
              <w:spacing w:before="100" w:beforeAutospacing="1" w:after="100" w:afterAutospacing="1"/>
              <w:ind w:left="-85" w:right="379" w:firstLine="88"/>
              <w:rPr>
                <w:rFonts w:ascii="Times New Roman" w:hAnsi="Times New Roman"/>
              </w:rPr>
            </w:pPr>
            <w:r w:rsidRPr="00612244">
              <w:rPr>
                <w:rFonts w:ascii="Times New Roman" w:hAnsi="Times New Roman"/>
              </w:rPr>
              <w:t>16</w:t>
            </w:r>
          </w:p>
        </w:tc>
        <w:tc>
          <w:tcPr>
            <w:tcW w:w="1363" w:type="dxa"/>
          </w:tcPr>
          <w:p w:rsidR="00FF51F7" w:rsidRPr="00612244" w:rsidRDefault="00FF51F7" w:rsidP="00517A1D">
            <w:pPr>
              <w:spacing w:before="100" w:beforeAutospacing="1" w:after="100" w:afterAutospacing="1"/>
              <w:ind w:left="426" w:right="379" w:hanging="339"/>
              <w:rPr>
                <w:rFonts w:ascii="Times New Roman" w:hAnsi="Times New Roman"/>
              </w:rPr>
            </w:pPr>
            <w:r w:rsidRPr="00612244">
              <w:rPr>
                <w:rFonts w:ascii="Times New Roman" w:hAnsi="Times New Roman"/>
              </w:rPr>
              <w:t>74</w:t>
            </w:r>
          </w:p>
        </w:tc>
      </w:tr>
    </w:tbl>
    <w:p w:rsidR="00FF51F7" w:rsidRPr="00612244" w:rsidRDefault="00FF51F7" w:rsidP="00FF51F7">
      <w:pPr>
        <w:spacing w:after="0"/>
        <w:ind w:right="379"/>
        <w:rPr>
          <w:rFonts w:ascii="Times New Roman" w:hAnsi="Times New Roman"/>
          <w:sz w:val="24"/>
          <w:szCs w:val="24"/>
        </w:rPr>
      </w:pPr>
    </w:p>
    <w:p w:rsidR="00FF51F7" w:rsidRPr="00612244" w:rsidRDefault="00517A1D" w:rsidP="00FF51F7">
      <w:pPr>
        <w:ind w:right="379"/>
        <w:rPr>
          <w:rFonts w:ascii="Times New Roman" w:hAnsi="Times New Roman"/>
          <w:sz w:val="24"/>
          <w:szCs w:val="24"/>
        </w:rPr>
      </w:pPr>
      <w:r>
        <w:rPr>
          <w:rFonts w:ascii="Times New Roman" w:hAnsi="Times New Roman"/>
          <w:sz w:val="24"/>
          <w:szCs w:val="24"/>
        </w:rPr>
        <w:t>I then</w:t>
      </w:r>
      <w:r w:rsidR="00FF51F7">
        <w:rPr>
          <w:rFonts w:ascii="Times New Roman" w:hAnsi="Times New Roman"/>
          <w:sz w:val="24"/>
          <w:szCs w:val="24"/>
        </w:rPr>
        <w:t xml:space="preserve"> use</w:t>
      </w:r>
      <w:r>
        <w:rPr>
          <w:rFonts w:ascii="Times New Roman" w:hAnsi="Times New Roman"/>
          <w:sz w:val="24"/>
          <w:szCs w:val="24"/>
        </w:rPr>
        <w:t>d</w:t>
      </w:r>
      <w:r w:rsidR="00FF51F7">
        <w:rPr>
          <w:rFonts w:ascii="Times New Roman" w:hAnsi="Times New Roman"/>
          <w:sz w:val="24"/>
          <w:szCs w:val="24"/>
        </w:rPr>
        <w:t xml:space="preserve"> t</w:t>
      </w:r>
      <w:r w:rsidR="002D4AD0">
        <w:rPr>
          <w:rFonts w:ascii="Times New Roman" w:hAnsi="Times New Roman"/>
          <w:sz w:val="24"/>
          <w:szCs w:val="24"/>
        </w:rPr>
        <w:t xml:space="preserve">he data to produce a record of </w:t>
      </w:r>
      <w:r w:rsidR="00FF51F7">
        <w:rPr>
          <w:rFonts w:ascii="Times New Roman" w:hAnsi="Times New Roman"/>
          <w:sz w:val="24"/>
          <w:szCs w:val="24"/>
        </w:rPr>
        <w:t xml:space="preserve">incontinence by diocese. </w:t>
      </w:r>
      <w:r w:rsidR="00FF51F7" w:rsidRPr="00612244">
        <w:rPr>
          <w:rFonts w:ascii="Times New Roman" w:hAnsi="Times New Roman"/>
          <w:sz w:val="24"/>
          <w:szCs w:val="24"/>
        </w:rPr>
        <w:t xml:space="preserve"> Once again we have to be aware that the </w:t>
      </w:r>
      <w:r>
        <w:rPr>
          <w:rFonts w:ascii="Times New Roman" w:hAnsi="Times New Roman"/>
          <w:sz w:val="24"/>
          <w:szCs w:val="24"/>
        </w:rPr>
        <w:t>quantity</w:t>
      </w:r>
      <w:r w:rsidR="00FF51F7" w:rsidRPr="00612244">
        <w:rPr>
          <w:rFonts w:ascii="Times New Roman" w:hAnsi="Times New Roman"/>
          <w:sz w:val="24"/>
          <w:szCs w:val="24"/>
        </w:rPr>
        <w:t xml:space="preserve"> of information collected varies dramatically between the excesses of London and the </w:t>
      </w:r>
      <w:proofErr w:type="spellStart"/>
      <w:r w:rsidR="00FF51F7" w:rsidRPr="00612244">
        <w:rPr>
          <w:rFonts w:ascii="Times New Roman" w:hAnsi="Times New Roman"/>
          <w:sz w:val="24"/>
          <w:szCs w:val="24"/>
        </w:rPr>
        <w:t>sparcity</w:t>
      </w:r>
      <w:proofErr w:type="spellEnd"/>
      <w:r w:rsidR="00FF51F7" w:rsidRPr="00612244">
        <w:rPr>
          <w:rFonts w:ascii="Times New Roman" w:hAnsi="Times New Roman"/>
          <w:sz w:val="24"/>
          <w:szCs w:val="24"/>
        </w:rPr>
        <w:t xml:space="preserve"> of Litchfield or Exeter. Unsurprisingly, therefore, London records the highest known number of canons who are identified as married, and its four incontinent bishops mean that 50% were incontinent in the period of study. Ely, which was not founded until 1109 and with only three bishops across the entire period, manages a 100% record for incontinence. </w:t>
      </w:r>
      <w:r>
        <w:rPr>
          <w:rFonts w:ascii="Times New Roman" w:hAnsi="Times New Roman"/>
          <w:sz w:val="24"/>
          <w:szCs w:val="24"/>
        </w:rPr>
        <w:t>M</w:t>
      </w:r>
      <w:r w:rsidR="00FF51F7" w:rsidRPr="00612244">
        <w:rPr>
          <w:rFonts w:ascii="Times New Roman" w:hAnsi="Times New Roman"/>
          <w:sz w:val="24"/>
          <w:szCs w:val="24"/>
        </w:rPr>
        <w:t xml:space="preserve">onastic Durham has 43% and Litchfield, York, Salisbury and Norwich have a third of their bishops incontinent. </w:t>
      </w:r>
      <w:r w:rsidR="00736D0B">
        <w:rPr>
          <w:rFonts w:ascii="Times New Roman" w:hAnsi="Times New Roman"/>
          <w:sz w:val="24"/>
          <w:szCs w:val="24"/>
        </w:rPr>
        <w:t>Looking at our</w:t>
      </w:r>
      <w:r w:rsidR="002E2AF6">
        <w:rPr>
          <w:rFonts w:ascii="Times New Roman" w:hAnsi="Times New Roman"/>
          <w:sz w:val="24"/>
          <w:szCs w:val="24"/>
        </w:rPr>
        <w:t xml:space="preserve"> most local bishoprics, </w:t>
      </w:r>
      <w:r w:rsidR="00FF51F7" w:rsidRPr="00612244">
        <w:rPr>
          <w:rFonts w:ascii="Times New Roman" w:hAnsi="Times New Roman"/>
          <w:sz w:val="24"/>
          <w:szCs w:val="24"/>
        </w:rPr>
        <w:t xml:space="preserve">Chichester </w:t>
      </w:r>
      <w:r w:rsidR="00736D0B">
        <w:rPr>
          <w:rFonts w:ascii="Times New Roman" w:hAnsi="Times New Roman"/>
          <w:sz w:val="24"/>
          <w:szCs w:val="24"/>
        </w:rPr>
        <w:t xml:space="preserve">recorded 29% of </w:t>
      </w:r>
      <w:r w:rsidR="002E2AF6">
        <w:rPr>
          <w:rFonts w:ascii="Times New Roman" w:hAnsi="Times New Roman"/>
          <w:sz w:val="24"/>
          <w:szCs w:val="24"/>
        </w:rPr>
        <w:t xml:space="preserve">bishops </w:t>
      </w:r>
      <w:r w:rsidR="00736D0B">
        <w:rPr>
          <w:rFonts w:ascii="Times New Roman" w:hAnsi="Times New Roman"/>
          <w:sz w:val="24"/>
          <w:szCs w:val="24"/>
        </w:rPr>
        <w:t>as incontinent and</w:t>
      </w:r>
      <w:r w:rsidR="002E2AF6">
        <w:rPr>
          <w:rFonts w:ascii="Times New Roman" w:hAnsi="Times New Roman"/>
          <w:sz w:val="24"/>
          <w:szCs w:val="24"/>
        </w:rPr>
        <w:t xml:space="preserve"> Winchester </w:t>
      </w:r>
      <w:r w:rsidR="00FF51F7" w:rsidRPr="00612244">
        <w:rPr>
          <w:rFonts w:ascii="Times New Roman" w:hAnsi="Times New Roman"/>
          <w:sz w:val="24"/>
          <w:szCs w:val="24"/>
        </w:rPr>
        <w:t>20</w:t>
      </w:r>
      <w:proofErr w:type="gramStart"/>
      <w:r w:rsidR="00FF51F7" w:rsidRPr="00612244">
        <w:rPr>
          <w:rFonts w:ascii="Times New Roman" w:hAnsi="Times New Roman"/>
          <w:sz w:val="24"/>
          <w:szCs w:val="24"/>
        </w:rPr>
        <w:t>%</w:t>
      </w:r>
      <w:r w:rsidR="002E2AF6">
        <w:rPr>
          <w:rFonts w:ascii="Times New Roman" w:hAnsi="Times New Roman"/>
          <w:sz w:val="24"/>
          <w:szCs w:val="24"/>
        </w:rPr>
        <w:t xml:space="preserve"> </w:t>
      </w:r>
      <w:r w:rsidR="00FF51F7" w:rsidRPr="00612244">
        <w:rPr>
          <w:rFonts w:ascii="Times New Roman" w:hAnsi="Times New Roman"/>
          <w:sz w:val="24"/>
          <w:szCs w:val="24"/>
        </w:rPr>
        <w:t>.</w:t>
      </w:r>
      <w:proofErr w:type="gramEnd"/>
      <w:r w:rsidR="00FF51F7" w:rsidRPr="00612244">
        <w:rPr>
          <w:rFonts w:ascii="Times New Roman" w:hAnsi="Times New Roman"/>
          <w:sz w:val="24"/>
          <w:szCs w:val="24"/>
        </w:rPr>
        <w:t xml:space="preserve"> </w:t>
      </w:r>
    </w:p>
    <w:p w:rsidR="00FF51F7" w:rsidRPr="00612244" w:rsidRDefault="00FF51F7" w:rsidP="00FF51F7">
      <w:pPr>
        <w:ind w:right="379"/>
        <w:rPr>
          <w:rFonts w:ascii="Times New Roman" w:hAnsi="Times New Roman"/>
          <w:sz w:val="24"/>
          <w:szCs w:val="24"/>
        </w:rPr>
      </w:pPr>
      <w:r w:rsidRPr="00612244">
        <w:rPr>
          <w:rFonts w:ascii="Times New Roman" w:hAnsi="Times New Roman"/>
          <w:sz w:val="24"/>
          <w:szCs w:val="24"/>
        </w:rPr>
        <w:t xml:space="preserve">On the other hand I could find no reference to the incontinence of any Bishop of Exeter, Bath, Rochester or Carlisle. In the latter case there was only one bishop in our timeframe, but Bath had six bishops, Exeter eight and Rochester ten. </w:t>
      </w:r>
    </w:p>
    <w:p w:rsidR="00FF51F7" w:rsidRDefault="00FF51F7" w:rsidP="00FF51F7">
      <w:pPr>
        <w:ind w:right="379"/>
        <w:rPr>
          <w:rFonts w:ascii="Times New Roman" w:hAnsi="Times New Roman"/>
          <w:sz w:val="24"/>
          <w:szCs w:val="24"/>
        </w:rPr>
      </w:pPr>
      <w:r w:rsidRPr="00612244">
        <w:rPr>
          <w:rFonts w:ascii="Times New Roman" w:hAnsi="Times New Roman"/>
          <w:sz w:val="24"/>
          <w:szCs w:val="24"/>
        </w:rPr>
        <w:t>The monastic chroniclers</w:t>
      </w:r>
      <w:r w:rsidR="00736D0B">
        <w:rPr>
          <w:rFonts w:ascii="Times New Roman" w:hAnsi="Times New Roman"/>
          <w:sz w:val="24"/>
          <w:szCs w:val="24"/>
        </w:rPr>
        <w:t xml:space="preserve"> </w:t>
      </w:r>
      <w:r w:rsidRPr="00612244">
        <w:rPr>
          <w:rFonts w:ascii="Times New Roman" w:hAnsi="Times New Roman"/>
          <w:sz w:val="24"/>
          <w:szCs w:val="24"/>
        </w:rPr>
        <w:t>were confident that monastic chapters would be more inclined to celibacy</w:t>
      </w:r>
      <w:r w:rsidR="00736D0B">
        <w:rPr>
          <w:rFonts w:ascii="Times New Roman" w:hAnsi="Times New Roman"/>
          <w:sz w:val="24"/>
          <w:szCs w:val="24"/>
        </w:rPr>
        <w:t>, not something my analysis supported</w:t>
      </w:r>
      <w:r w:rsidRPr="00612244">
        <w:rPr>
          <w:rFonts w:ascii="Times New Roman" w:hAnsi="Times New Roman"/>
          <w:sz w:val="24"/>
          <w:szCs w:val="24"/>
        </w:rPr>
        <w:t xml:space="preserve">. </w:t>
      </w:r>
      <w:r>
        <w:rPr>
          <w:rFonts w:ascii="Times New Roman" w:hAnsi="Times New Roman"/>
          <w:sz w:val="24"/>
          <w:szCs w:val="24"/>
        </w:rPr>
        <w:t>The data suggests that in</w:t>
      </w:r>
      <w:r w:rsidRPr="00612244">
        <w:rPr>
          <w:rFonts w:ascii="Times New Roman" w:hAnsi="Times New Roman"/>
          <w:sz w:val="24"/>
          <w:szCs w:val="24"/>
        </w:rPr>
        <w:t xml:space="preserve"> fact 22% of monastic bishops were incontinent an identical figure to that </w:t>
      </w:r>
      <w:r w:rsidR="00E55532">
        <w:rPr>
          <w:rFonts w:ascii="Times New Roman" w:hAnsi="Times New Roman"/>
          <w:sz w:val="24"/>
          <w:szCs w:val="24"/>
        </w:rPr>
        <w:t>for</w:t>
      </w:r>
      <w:r w:rsidRPr="00612244">
        <w:rPr>
          <w:rFonts w:ascii="Times New Roman" w:hAnsi="Times New Roman"/>
          <w:sz w:val="24"/>
          <w:szCs w:val="24"/>
        </w:rPr>
        <w:t xml:space="preserve"> the secular sees. However, if we look at the numbers of canons identified as having children then we find very few in the Monastic chapters, just ten of the 74 we have recorded.  </w:t>
      </w:r>
    </w:p>
    <w:p w:rsidR="00FF51F7" w:rsidRDefault="00FF51F7" w:rsidP="00FF51F7">
      <w:pPr>
        <w:ind w:right="379"/>
        <w:rPr>
          <w:rFonts w:ascii="Times New Roman" w:hAnsi="Times New Roman"/>
          <w:sz w:val="24"/>
          <w:szCs w:val="24"/>
        </w:rPr>
      </w:pPr>
      <w:r>
        <w:rPr>
          <w:rFonts w:ascii="Times New Roman" w:hAnsi="Times New Roman"/>
          <w:sz w:val="24"/>
          <w:szCs w:val="24"/>
        </w:rPr>
        <w:t>The data can also be split to show us how many non-celibate bishops were appointed by each King. We can note that while William Rufus seems to live up to his stereotype, some will be surprised at the quality of Edward the Confessor’s bishops.</w:t>
      </w:r>
    </w:p>
    <w:p w:rsidR="00FF51F7" w:rsidRPr="001A113D" w:rsidRDefault="00FF51F7" w:rsidP="00FF51F7">
      <w:pPr>
        <w:ind w:left="426" w:right="379"/>
        <w:rPr>
          <w:b/>
        </w:rPr>
      </w:pPr>
      <w:r>
        <w:rPr>
          <w:b/>
        </w:rPr>
        <w:t>Table 5</w:t>
      </w:r>
      <w:r w:rsidRPr="001A113D">
        <w:rPr>
          <w:b/>
        </w:rPr>
        <w:t>:</w:t>
      </w:r>
    </w:p>
    <w:p w:rsidR="00FF51F7" w:rsidRPr="00101358" w:rsidRDefault="00FF51F7" w:rsidP="00FF51F7">
      <w:pPr>
        <w:ind w:left="426" w:right="379"/>
        <w:rPr>
          <w:b/>
        </w:rPr>
      </w:pPr>
      <w:r>
        <w:rPr>
          <w:b/>
        </w:rPr>
        <w:lastRenderedPageBreak/>
        <w:t>% i</w:t>
      </w:r>
      <w:r w:rsidRPr="00101358">
        <w:rPr>
          <w:b/>
        </w:rPr>
        <w:t xml:space="preserve">ncontinent bishops </w:t>
      </w:r>
      <w:r>
        <w:rPr>
          <w:b/>
        </w:rPr>
        <w:t>appointed by king</w:t>
      </w:r>
    </w:p>
    <w:p w:rsidR="00FF51F7" w:rsidRDefault="00FF51F7" w:rsidP="00FF51F7">
      <w:pPr>
        <w:ind w:right="379"/>
        <w:rPr>
          <w:rFonts w:ascii="Times New Roman" w:hAnsi="Times New Roman"/>
          <w:sz w:val="24"/>
          <w:szCs w:val="24"/>
        </w:rPr>
      </w:pPr>
      <w:r>
        <w:rPr>
          <w:noProof/>
          <w:lang w:eastAsia="en-GB"/>
        </w:rPr>
        <w:drawing>
          <wp:inline distT="0" distB="0" distL="0" distR="0">
            <wp:extent cx="5630234" cy="2476875"/>
            <wp:effectExtent l="12196" t="6091" r="7800" b="1154"/>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51F7" w:rsidRDefault="00FF51F7" w:rsidP="00FF51F7">
      <w:pPr>
        <w:ind w:right="379"/>
        <w:rPr>
          <w:rFonts w:ascii="Times New Roman" w:hAnsi="Times New Roman"/>
          <w:sz w:val="24"/>
          <w:szCs w:val="24"/>
        </w:rPr>
      </w:pPr>
    </w:p>
    <w:p w:rsidR="00FF51F7" w:rsidRDefault="00FF51F7" w:rsidP="00FF51F7">
      <w:pPr>
        <w:ind w:right="379"/>
        <w:rPr>
          <w:rFonts w:ascii="Times New Roman" w:hAnsi="Times New Roman"/>
          <w:sz w:val="24"/>
          <w:szCs w:val="24"/>
        </w:rPr>
      </w:pPr>
      <w:r>
        <w:rPr>
          <w:rFonts w:ascii="Times New Roman" w:hAnsi="Times New Roman"/>
          <w:sz w:val="24"/>
          <w:szCs w:val="24"/>
        </w:rPr>
        <w:t xml:space="preserve">The bishops can also be charted according to profession. This suggests that those who have served a King in a personal capacity before taking office are more likely to be sexually active. </w:t>
      </w:r>
    </w:p>
    <w:p w:rsidR="00FF51F7" w:rsidRPr="001A113D" w:rsidRDefault="00FF51F7" w:rsidP="00FF51F7">
      <w:pPr>
        <w:ind w:left="426" w:right="379"/>
        <w:rPr>
          <w:b/>
        </w:rPr>
      </w:pPr>
      <w:r>
        <w:rPr>
          <w:b/>
        </w:rPr>
        <w:t>Table 6</w:t>
      </w:r>
      <w:r w:rsidRPr="001A113D">
        <w:rPr>
          <w:b/>
        </w:rPr>
        <w:t>:</w:t>
      </w:r>
    </w:p>
    <w:p w:rsidR="00FF51F7" w:rsidRPr="00101358" w:rsidRDefault="00FF51F7" w:rsidP="00FF51F7">
      <w:pPr>
        <w:ind w:left="426" w:right="379"/>
        <w:rPr>
          <w:b/>
        </w:rPr>
      </w:pPr>
      <w:r w:rsidRPr="00101358">
        <w:rPr>
          <w:b/>
        </w:rPr>
        <w:t xml:space="preserve">Incontinent bishops </w:t>
      </w:r>
      <w:r>
        <w:rPr>
          <w:b/>
        </w:rPr>
        <w:t>appointed by profession</w:t>
      </w:r>
    </w:p>
    <w:p w:rsidR="00FF51F7" w:rsidRDefault="00FF51F7" w:rsidP="00FF51F7">
      <w:pPr>
        <w:ind w:right="379"/>
        <w:rPr>
          <w:rFonts w:ascii="Times New Roman" w:hAnsi="Times New Roman"/>
          <w:sz w:val="24"/>
          <w:szCs w:val="24"/>
        </w:rPr>
      </w:pPr>
      <w:r>
        <w:rPr>
          <w:noProof/>
          <w:lang w:eastAsia="en-GB"/>
        </w:rPr>
        <w:drawing>
          <wp:inline distT="0" distB="0" distL="0" distR="0">
            <wp:extent cx="4559963" cy="2176395"/>
            <wp:effectExtent l="12190" t="6100" r="8737"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But the primary aim of the study was to judge whether the papal rule as promulgated by councils had </w:t>
      </w:r>
      <w:r>
        <w:rPr>
          <w:rFonts w:ascii="Times New Roman" w:hAnsi="Times New Roman"/>
          <w:sz w:val="24"/>
          <w:szCs w:val="24"/>
        </w:rPr>
        <w:t xml:space="preserve">any effect on </w:t>
      </w:r>
      <w:r w:rsidRPr="00612244">
        <w:rPr>
          <w:rFonts w:ascii="Times New Roman" w:hAnsi="Times New Roman"/>
          <w:sz w:val="24"/>
          <w:szCs w:val="24"/>
        </w:rPr>
        <w:t>the behaviour of the higher clergy. So the final</w:t>
      </w:r>
      <w:r>
        <w:rPr>
          <w:rFonts w:ascii="Times New Roman" w:hAnsi="Times New Roman"/>
          <w:sz w:val="24"/>
          <w:szCs w:val="24"/>
        </w:rPr>
        <w:t xml:space="preserve"> variable which</w:t>
      </w:r>
      <w:r w:rsidRPr="00612244">
        <w:rPr>
          <w:rFonts w:ascii="Times New Roman" w:hAnsi="Times New Roman"/>
          <w:sz w:val="24"/>
          <w:szCs w:val="24"/>
        </w:rPr>
        <w:t xml:space="preserve"> needed to </w:t>
      </w:r>
      <w:r>
        <w:rPr>
          <w:rFonts w:ascii="Times New Roman" w:hAnsi="Times New Roman"/>
          <w:sz w:val="24"/>
          <w:szCs w:val="24"/>
        </w:rPr>
        <w:t xml:space="preserve">be </w:t>
      </w:r>
      <w:r w:rsidRPr="00612244">
        <w:rPr>
          <w:rFonts w:ascii="Times New Roman" w:hAnsi="Times New Roman"/>
          <w:sz w:val="24"/>
          <w:szCs w:val="24"/>
        </w:rPr>
        <w:t>add</w:t>
      </w:r>
      <w:r>
        <w:rPr>
          <w:rFonts w:ascii="Times New Roman" w:hAnsi="Times New Roman"/>
          <w:sz w:val="24"/>
          <w:szCs w:val="24"/>
        </w:rPr>
        <w:t>ed</w:t>
      </w:r>
      <w:r w:rsidRPr="00612244">
        <w:rPr>
          <w:rFonts w:ascii="Times New Roman" w:hAnsi="Times New Roman"/>
          <w:sz w:val="24"/>
          <w:szCs w:val="24"/>
        </w:rPr>
        <w:t xml:space="preserve"> was the number of councils which had the enforcement of clerical celibacy as a major objective.</w:t>
      </w:r>
    </w:p>
    <w:p w:rsidR="00FF51F7" w:rsidRPr="00612244" w:rsidRDefault="00FF51F7" w:rsidP="00FF51F7">
      <w:pPr>
        <w:spacing w:after="0"/>
        <w:ind w:right="379"/>
        <w:rPr>
          <w:rFonts w:ascii="Times New Roman" w:hAnsi="Times New Roman"/>
          <w:sz w:val="24"/>
          <w:szCs w:val="24"/>
        </w:rPr>
      </w:pP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With some nervousness I </w:t>
      </w:r>
      <w:r>
        <w:rPr>
          <w:rFonts w:ascii="Times New Roman" w:hAnsi="Times New Roman"/>
          <w:sz w:val="24"/>
          <w:szCs w:val="24"/>
        </w:rPr>
        <w:t xml:space="preserve">then </w:t>
      </w:r>
      <w:r w:rsidRPr="00612244">
        <w:rPr>
          <w:rFonts w:ascii="Times New Roman" w:hAnsi="Times New Roman"/>
          <w:sz w:val="24"/>
          <w:szCs w:val="24"/>
        </w:rPr>
        <w:t>collated these various results</w:t>
      </w:r>
      <w:r>
        <w:rPr>
          <w:rFonts w:ascii="Times New Roman" w:hAnsi="Times New Roman"/>
          <w:sz w:val="24"/>
          <w:szCs w:val="24"/>
        </w:rPr>
        <w:t xml:space="preserve"> to see if there was any correlation. The data had been</w:t>
      </w:r>
      <w:r w:rsidRPr="00612244">
        <w:rPr>
          <w:rFonts w:ascii="Times New Roman" w:hAnsi="Times New Roman"/>
          <w:sz w:val="24"/>
          <w:szCs w:val="24"/>
        </w:rPr>
        <w:t xml:space="preserve"> generated using different sources and </w:t>
      </w:r>
      <w:r>
        <w:rPr>
          <w:rFonts w:ascii="Times New Roman" w:hAnsi="Times New Roman"/>
          <w:sz w:val="24"/>
          <w:szCs w:val="24"/>
        </w:rPr>
        <w:t>the results included</w:t>
      </w:r>
      <w:r w:rsidRPr="00612244">
        <w:rPr>
          <w:rFonts w:ascii="Times New Roman" w:hAnsi="Times New Roman"/>
          <w:sz w:val="24"/>
          <w:szCs w:val="24"/>
        </w:rPr>
        <w:t xml:space="preserve"> a percentage (bishops), a raw number (canons) and the number of councils</w:t>
      </w:r>
      <w:r>
        <w:rPr>
          <w:rFonts w:ascii="Times New Roman" w:hAnsi="Times New Roman"/>
          <w:sz w:val="24"/>
          <w:szCs w:val="24"/>
        </w:rPr>
        <w:t xml:space="preserve">. This </w:t>
      </w:r>
      <w:r>
        <w:rPr>
          <w:rFonts w:ascii="Times New Roman" w:hAnsi="Times New Roman"/>
          <w:sz w:val="24"/>
          <w:szCs w:val="24"/>
        </w:rPr>
        <w:lastRenderedPageBreak/>
        <w:t>assembly of data had</w:t>
      </w:r>
      <w:r w:rsidRPr="00612244">
        <w:rPr>
          <w:rFonts w:ascii="Times New Roman" w:hAnsi="Times New Roman"/>
          <w:sz w:val="24"/>
          <w:szCs w:val="24"/>
        </w:rPr>
        <w:t xml:space="preserve"> all </w:t>
      </w:r>
      <w:r>
        <w:rPr>
          <w:rFonts w:ascii="Times New Roman" w:hAnsi="Times New Roman"/>
          <w:sz w:val="24"/>
          <w:szCs w:val="24"/>
        </w:rPr>
        <w:t>been gleaned from analysing the</w:t>
      </w:r>
      <w:r w:rsidRPr="00612244">
        <w:rPr>
          <w:rFonts w:ascii="Times New Roman" w:hAnsi="Times New Roman"/>
          <w:sz w:val="24"/>
          <w:szCs w:val="24"/>
        </w:rPr>
        <w:t xml:space="preserve"> very small amount of data available.</w:t>
      </w:r>
      <w:r>
        <w:rPr>
          <w:rFonts w:ascii="Times New Roman" w:hAnsi="Times New Roman"/>
          <w:sz w:val="24"/>
          <w:szCs w:val="24"/>
        </w:rPr>
        <w:t xml:space="preserve"> Could it possibly show any useful or meaningful correlations?</w:t>
      </w:r>
    </w:p>
    <w:p w:rsidR="00FF51F7" w:rsidRPr="00612244" w:rsidRDefault="00FF51F7" w:rsidP="00FF51F7">
      <w:pPr>
        <w:spacing w:after="0"/>
        <w:ind w:right="379"/>
        <w:rPr>
          <w:rFonts w:ascii="Times New Roman" w:hAnsi="Times New Roman"/>
          <w:sz w:val="24"/>
          <w:szCs w:val="24"/>
        </w:rPr>
      </w:pPr>
    </w:p>
    <w:p w:rsidR="00FF51F7" w:rsidRPr="00612244" w:rsidRDefault="00FF51F7" w:rsidP="00FF51F7">
      <w:pPr>
        <w:spacing w:after="0"/>
        <w:ind w:right="379"/>
        <w:rPr>
          <w:rFonts w:ascii="Times New Roman" w:hAnsi="Times New Roman"/>
          <w:b/>
          <w:sz w:val="24"/>
          <w:szCs w:val="24"/>
        </w:rPr>
      </w:pPr>
      <w:r w:rsidRPr="00612244">
        <w:rPr>
          <w:rFonts w:ascii="Times New Roman" w:hAnsi="Times New Roman"/>
          <w:b/>
          <w:sz w:val="24"/>
          <w:szCs w:val="24"/>
        </w:rPr>
        <w:t>Graph 1:</w:t>
      </w:r>
    </w:p>
    <w:p w:rsidR="00FF51F7" w:rsidRPr="00612244" w:rsidRDefault="00FF51F7" w:rsidP="00FF51F7">
      <w:pPr>
        <w:spacing w:after="0"/>
        <w:ind w:right="379"/>
        <w:rPr>
          <w:rFonts w:ascii="Times New Roman" w:hAnsi="Times New Roman"/>
          <w:b/>
          <w:sz w:val="24"/>
          <w:szCs w:val="24"/>
        </w:rPr>
      </w:pPr>
      <w:r w:rsidRPr="00612244">
        <w:rPr>
          <w:rFonts w:ascii="Times New Roman" w:hAnsi="Times New Roman"/>
          <w:b/>
          <w:sz w:val="24"/>
          <w:szCs w:val="24"/>
        </w:rPr>
        <w:t>Incontinent bishops and canons from 1070 – 1195</w:t>
      </w:r>
    </w:p>
    <w:p w:rsidR="00FF51F7" w:rsidRPr="00612244" w:rsidRDefault="00FF51F7" w:rsidP="00FF51F7">
      <w:pPr>
        <w:spacing w:after="0"/>
        <w:ind w:right="379"/>
        <w:rPr>
          <w:rFonts w:ascii="Times New Roman" w:hAnsi="Times New Roman"/>
          <w:sz w:val="24"/>
          <w:szCs w:val="24"/>
        </w:rPr>
      </w:pPr>
      <w:r>
        <w:rPr>
          <w:rFonts w:ascii="Times New Roman" w:hAnsi="Times New Roman"/>
          <w:noProof/>
          <w:sz w:val="24"/>
          <w:szCs w:val="24"/>
          <w:lang w:eastAsia="en-GB"/>
        </w:rPr>
        <w:drawing>
          <wp:inline distT="0" distB="0" distL="0" distR="0">
            <wp:extent cx="4559963" cy="3002341"/>
            <wp:effectExtent l="12190" t="6097" r="8737" b="2097"/>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1F7" w:rsidRPr="00612244" w:rsidRDefault="00FF51F7" w:rsidP="00FF51F7">
      <w:pPr>
        <w:spacing w:after="0"/>
        <w:rPr>
          <w:rFonts w:ascii="Times New Roman" w:hAnsi="Times New Roman"/>
          <w:sz w:val="24"/>
          <w:szCs w:val="24"/>
        </w:rPr>
      </w:pPr>
    </w:p>
    <w:p w:rsidR="00FF51F7" w:rsidRPr="00612244" w:rsidRDefault="00FF51F7" w:rsidP="00FF51F7">
      <w:pPr>
        <w:spacing w:after="0"/>
        <w:ind w:right="379"/>
        <w:rPr>
          <w:rFonts w:ascii="Times New Roman" w:hAnsi="Times New Roman"/>
          <w:sz w:val="24"/>
          <w:szCs w:val="24"/>
        </w:rPr>
      </w:pPr>
      <w:r>
        <w:rPr>
          <w:rFonts w:ascii="Times New Roman" w:hAnsi="Times New Roman"/>
          <w:sz w:val="24"/>
          <w:szCs w:val="24"/>
        </w:rPr>
        <w:t>The above graph suggests a clear correlation between bishops and canons, and tells a coherent story</w:t>
      </w:r>
      <w:r w:rsidRPr="00612244">
        <w:rPr>
          <w:rFonts w:ascii="Times New Roman" w:hAnsi="Times New Roman"/>
          <w:sz w:val="24"/>
          <w:szCs w:val="24"/>
        </w:rPr>
        <w:t xml:space="preserve">. Starting with around a quarter of bishops incontinent in the early part of the Conqueror’s reign, this fraction rises across the period of </w:t>
      </w:r>
      <w:r w:rsidR="00E55532">
        <w:rPr>
          <w:rFonts w:ascii="Times New Roman" w:hAnsi="Times New Roman"/>
          <w:sz w:val="24"/>
          <w:szCs w:val="24"/>
        </w:rPr>
        <w:t xml:space="preserve">Archbishop </w:t>
      </w:r>
      <w:r w:rsidRPr="00612244">
        <w:rPr>
          <w:rFonts w:ascii="Times New Roman" w:hAnsi="Times New Roman"/>
          <w:sz w:val="24"/>
          <w:szCs w:val="24"/>
        </w:rPr>
        <w:t xml:space="preserve">Anselm’s primacy and continues to rise even as the councils of the 1120s set ever higher standards for priests’ sexual behaviour. However, in the quarter following this flurry of councils there is a sharp fall, from 33% to just 14%. This pattern is mirrored almost exactly by the headcount of canons. </w:t>
      </w:r>
    </w:p>
    <w:p w:rsidR="00FF51F7" w:rsidRPr="00612244" w:rsidRDefault="00FF51F7" w:rsidP="00FF51F7">
      <w:pPr>
        <w:spacing w:after="0"/>
        <w:ind w:right="379"/>
        <w:rPr>
          <w:rFonts w:ascii="Times New Roman" w:hAnsi="Times New Roman"/>
          <w:sz w:val="24"/>
          <w:szCs w:val="24"/>
        </w:rPr>
      </w:pP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It also appears that not only do the incidences of incontinence drop dramatically after the rapid sequence of five councils, but it starts to rise again after a long period withou</w:t>
      </w:r>
      <w:r w:rsidR="00E55532">
        <w:rPr>
          <w:rFonts w:ascii="Times New Roman" w:hAnsi="Times New Roman"/>
          <w:sz w:val="24"/>
          <w:szCs w:val="24"/>
        </w:rPr>
        <w:t xml:space="preserve">t councils focusing on </w:t>
      </w:r>
      <w:r w:rsidRPr="00612244">
        <w:rPr>
          <w:rFonts w:ascii="Times New Roman" w:hAnsi="Times New Roman"/>
          <w:sz w:val="24"/>
          <w:szCs w:val="24"/>
        </w:rPr>
        <w:t xml:space="preserve">celibacy. This </w:t>
      </w:r>
      <w:r>
        <w:rPr>
          <w:rFonts w:ascii="Times New Roman" w:hAnsi="Times New Roman"/>
          <w:sz w:val="24"/>
          <w:szCs w:val="24"/>
        </w:rPr>
        <w:t>certainly suggests a</w:t>
      </w:r>
      <w:r w:rsidRPr="00612244">
        <w:rPr>
          <w:rFonts w:ascii="Times New Roman" w:hAnsi="Times New Roman"/>
          <w:sz w:val="24"/>
          <w:szCs w:val="24"/>
        </w:rPr>
        <w:t xml:space="preserve"> causal link between the number of councils dealing with celibacy and the resultant incontinence of the higher clergy.</w:t>
      </w:r>
    </w:p>
    <w:p w:rsidR="00FF51F7" w:rsidRDefault="00FF51F7" w:rsidP="00FF51F7">
      <w:pPr>
        <w:spacing w:after="0"/>
        <w:ind w:right="379"/>
        <w:rPr>
          <w:rFonts w:ascii="Times New Roman" w:hAnsi="Times New Roman"/>
          <w:sz w:val="24"/>
          <w:szCs w:val="24"/>
        </w:rPr>
      </w:pP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Taking all this into consideration my analysis would suggest that the councils of Lanfranc (1076) and Anselm (1102) had little impact, but the councils of 1120s and 1130s did in some way affect the behaviour of those appointed to the higher clergy a generation later.</w:t>
      </w: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 xml:space="preserve"> </w:t>
      </w:r>
    </w:p>
    <w:p w:rsidR="00FF51F7" w:rsidRPr="00612244" w:rsidRDefault="00FF51F7" w:rsidP="00FF51F7">
      <w:pPr>
        <w:spacing w:after="0"/>
        <w:ind w:right="379"/>
        <w:rPr>
          <w:rFonts w:ascii="Times New Roman" w:hAnsi="Times New Roman"/>
          <w:sz w:val="24"/>
          <w:szCs w:val="24"/>
        </w:rPr>
      </w:pPr>
      <w:r w:rsidRPr="00612244">
        <w:rPr>
          <w:rFonts w:ascii="Times New Roman" w:hAnsi="Times New Roman"/>
          <w:sz w:val="24"/>
          <w:szCs w:val="24"/>
        </w:rPr>
        <w:t>The analysis also casts doubt on the views of the eminent Professors Brooke</w:t>
      </w:r>
      <w:r w:rsidR="00E55532">
        <w:rPr>
          <w:rFonts w:ascii="Times New Roman" w:hAnsi="Times New Roman"/>
          <w:sz w:val="24"/>
          <w:szCs w:val="24"/>
        </w:rPr>
        <w:t xml:space="preserve"> with which I started. Zachary’s view was</w:t>
      </w:r>
      <w:r w:rsidRPr="00612244">
        <w:rPr>
          <w:rFonts w:ascii="Times New Roman" w:hAnsi="Times New Roman"/>
          <w:sz w:val="24"/>
          <w:szCs w:val="24"/>
        </w:rPr>
        <w:t xml:space="preserve"> that no married bishops were appointed after 1170, while my </w:t>
      </w:r>
      <w:proofErr w:type="gramStart"/>
      <w:r w:rsidRPr="00612244">
        <w:rPr>
          <w:rFonts w:ascii="Times New Roman" w:hAnsi="Times New Roman"/>
          <w:sz w:val="24"/>
          <w:szCs w:val="24"/>
        </w:rPr>
        <w:t>survey suggest</w:t>
      </w:r>
      <w:proofErr w:type="gramEnd"/>
      <w:r w:rsidRPr="00612244">
        <w:rPr>
          <w:rFonts w:ascii="Times New Roman" w:hAnsi="Times New Roman"/>
          <w:sz w:val="24"/>
          <w:szCs w:val="24"/>
        </w:rPr>
        <w:t xml:space="preserve"> there were six (John de Greenford, Geoffrey </w:t>
      </w:r>
      <w:proofErr w:type="spellStart"/>
      <w:r w:rsidRPr="00612244">
        <w:rPr>
          <w:rFonts w:ascii="Times New Roman" w:hAnsi="Times New Roman"/>
          <w:sz w:val="24"/>
          <w:szCs w:val="24"/>
        </w:rPr>
        <w:t>Ridel</w:t>
      </w:r>
      <w:proofErr w:type="spellEnd"/>
      <w:r w:rsidRPr="00612244">
        <w:rPr>
          <w:rFonts w:ascii="Times New Roman" w:hAnsi="Times New Roman"/>
          <w:sz w:val="24"/>
          <w:szCs w:val="24"/>
        </w:rPr>
        <w:t xml:space="preserve">, Richard </w:t>
      </w:r>
      <w:proofErr w:type="spellStart"/>
      <w:r w:rsidRPr="00612244">
        <w:rPr>
          <w:rFonts w:ascii="Times New Roman" w:hAnsi="Times New Roman"/>
          <w:sz w:val="24"/>
          <w:szCs w:val="24"/>
        </w:rPr>
        <w:t>Fitzneale</w:t>
      </w:r>
      <w:proofErr w:type="spellEnd"/>
      <w:r w:rsidRPr="00612244">
        <w:rPr>
          <w:rFonts w:ascii="Times New Roman" w:hAnsi="Times New Roman"/>
          <w:sz w:val="24"/>
          <w:szCs w:val="24"/>
        </w:rPr>
        <w:t xml:space="preserve">, Richard of </w:t>
      </w:r>
      <w:proofErr w:type="spellStart"/>
      <w:r w:rsidRPr="00612244">
        <w:rPr>
          <w:rFonts w:ascii="Times New Roman" w:hAnsi="Times New Roman"/>
          <w:sz w:val="24"/>
          <w:szCs w:val="24"/>
        </w:rPr>
        <w:t>Ilchester</w:t>
      </w:r>
      <w:proofErr w:type="spellEnd"/>
      <w:r w:rsidRPr="00612244">
        <w:rPr>
          <w:rFonts w:ascii="Times New Roman" w:hAnsi="Times New Roman"/>
          <w:sz w:val="24"/>
          <w:szCs w:val="24"/>
        </w:rPr>
        <w:t xml:space="preserve">, William </w:t>
      </w:r>
      <w:proofErr w:type="spellStart"/>
      <w:r w:rsidRPr="00612244">
        <w:rPr>
          <w:rFonts w:ascii="Times New Roman" w:hAnsi="Times New Roman"/>
          <w:sz w:val="24"/>
          <w:szCs w:val="24"/>
        </w:rPr>
        <w:t>Longchamp</w:t>
      </w:r>
      <w:proofErr w:type="spellEnd"/>
      <w:r w:rsidRPr="00612244">
        <w:rPr>
          <w:rFonts w:ascii="Times New Roman" w:hAnsi="Times New Roman"/>
          <w:sz w:val="24"/>
          <w:szCs w:val="24"/>
        </w:rPr>
        <w:t xml:space="preserve"> and </w:t>
      </w:r>
      <w:proofErr w:type="spellStart"/>
      <w:r w:rsidRPr="00612244">
        <w:rPr>
          <w:rFonts w:ascii="Times New Roman" w:hAnsi="Times New Roman"/>
          <w:sz w:val="24"/>
          <w:szCs w:val="24"/>
        </w:rPr>
        <w:t>Gwion</w:t>
      </w:r>
      <w:proofErr w:type="spellEnd"/>
      <w:r w:rsidRPr="00612244">
        <w:rPr>
          <w:rFonts w:ascii="Times New Roman" w:hAnsi="Times New Roman"/>
          <w:sz w:val="24"/>
          <w:szCs w:val="24"/>
        </w:rPr>
        <w:t xml:space="preserve"> at Bangor). </w:t>
      </w:r>
      <w:r w:rsidR="00E55532">
        <w:rPr>
          <w:rFonts w:ascii="Times New Roman" w:hAnsi="Times New Roman"/>
          <w:sz w:val="24"/>
          <w:szCs w:val="24"/>
        </w:rPr>
        <w:t xml:space="preserve">This data also suggests that Christopher Brooke’s view that </w:t>
      </w:r>
      <w:r w:rsidRPr="00612244">
        <w:rPr>
          <w:rFonts w:ascii="Times New Roman" w:hAnsi="Times New Roman"/>
          <w:sz w:val="24"/>
          <w:szCs w:val="24"/>
        </w:rPr>
        <w:t xml:space="preserve">clerical marriage amongst the higher clergy ‘died out’ in the mid twelfth century again may be questioned by this data. The evidence we </w:t>
      </w:r>
      <w:r w:rsidRPr="00612244">
        <w:rPr>
          <w:rFonts w:ascii="Times New Roman" w:hAnsi="Times New Roman"/>
          <w:sz w:val="24"/>
          <w:szCs w:val="24"/>
        </w:rPr>
        <w:lastRenderedPageBreak/>
        <w:t xml:space="preserve">have collated suggests that there are clear signs of a </w:t>
      </w:r>
      <w:r w:rsidRPr="00E55532">
        <w:rPr>
          <w:rFonts w:ascii="Times New Roman" w:hAnsi="Times New Roman"/>
          <w:b/>
          <w:sz w:val="24"/>
          <w:szCs w:val="24"/>
        </w:rPr>
        <w:t>rise</w:t>
      </w:r>
      <w:r w:rsidRPr="00612244">
        <w:rPr>
          <w:rFonts w:ascii="Times New Roman" w:hAnsi="Times New Roman"/>
          <w:sz w:val="24"/>
          <w:szCs w:val="24"/>
        </w:rPr>
        <w:t xml:space="preserve"> in incontinence in the final quarter of the century, rather than a continued falling away. That this rise was perceived at the time is confirmed by another flurry of both Lateran and English councils reinforcing the condemnations on clerical marriage and inherited benefices, a final attempt to enforce the papal line.  </w:t>
      </w:r>
    </w:p>
    <w:p w:rsidR="00FF51F7" w:rsidRPr="00736D0B" w:rsidRDefault="00FF51F7" w:rsidP="00FF51F7">
      <w:pPr>
        <w:spacing w:after="0"/>
        <w:rPr>
          <w:rFonts w:ascii="Times New Roman" w:hAnsi="Times New Roman" w:cs="Times New Roman"/>
          <w:sz w:val="24"/>
          <w:szCs w:val="24"/>
        </w:rPr>
      </w:pPr>
    </w:p>
    <w:p w:rsidR="00517A1D" w:rsidRDefault="00517A1D" w:rsidP="00FF51F7">
      <w:pPr>
        <w:spacing w:after="0"/>
        <w:rPr>
          <w:rFonts w:ascii="Times New Roman" w:hAnsi="Times New Roman" w:cs="Times New Roman"/>
          <w:sz w:val="24"/>
          <w:szCs w:val="24"/>
        </w:rPr>
      </w:pPr>
      <w:r w:rsidRPr="00736D0B">
        <w:rPr>
          <w:rFonts w:ascii="Times New Roman" w:hAnsi="Times New Roman" w:cs="Times New Roman"/>
          <w:sz w:val="24"/>
          <w:szCs w:val="24"/>
        </w:rPr>
        <w:t xml:space="preserve">The full </w:t>
      </w:r>
      <w:proofErr w:type="gramStart"/>
      <w:r w:rsidRPr="00736D0B">
        <w:rPr>
          <w:rFonts w:ascii="Times New Roman" w:hAnsi="Times New Roman" w:cs="Times New Roman"/>
          <w:sz w:val="24"/>
          <w:szCs w:val="24"/>
        </w:rPr>
        <w:t>results of this survey, including a detailed record of every single account of sexual incontinence is</w:t>
      </w:r>
      <w:proofErr w:type="gramEnd"/>
      <w:r w:rsidRPr="00736D0B">
        <w:rPr>
          <w:rFonts w:ascii="Times New Roman" w:hAnsi="Times New Roman" w:cs="Times New Roman"/>
          <w:sz w:val="24"/>
          <w:szCs w:val="24"/>
        </w:rPr>
        <w:t xml:space="preserve"> currently being compiled onto a database at </w:t>
      </w:r>
      <w:hyperlink r:id="rId9" w:history="1">
        <w:r w:rsidRPr="00736D0B">
          <w:rPr>
            <w:rStyle w:val="Hyperlink"/>
            <w:rFonts w:ascii="Times New Roman" w:hAnsi="Times New Roman" w:cs="Times New Roman"/>
            <w:sz w:val="24"/>
            <w:szCs w:val="24"/>
          </w:rPr>
          <w:t>www.clericalcelibacy.co.uk</w:t>
        </w:r>
      </w:hyperlink>
      <w:r w:rsidRPr="00736D0B">
        <w:rPr>
          <w:rFonts w:ascii="Times New Roman" w:hAnsi="Times New Roman" w:cs="Times New Roman"/>
          <w:sz w:val="24"/>
          <w:szCs w:val="24"/>
        </w:rPr>
        <w:t xml:space="preserve">. This exercise should be completed </w:t>
      </w:r>
      <w:r w:rsidR="00736D0B">
        <w:rPr>
          <w:rFonts w:ascii="Times New Roman" w:hAnsi="Times New Roman" w:cs="Times New Roman"/>
          <w:sz w:val="24"/>
          <w:szCs w:val="24"/>
        </w:rPr>
        <w:t>early next year</w:t>
      </w:r>
      <w:r w:rsidRPr="00736D0B">
        <w:rPr>
          <w:rFonts w:ascii="Times New Roman" w:hAnsi="Times New Roman" w:cs="Times New Roman"/>
          <w:sz w:val="24"/>
          <w:szCs w:val="24"/>
        </w:rPr>
        <w:t>, and other researchers will then be invited to continue contributing to this record.</w:t>
      </w:r>
    </w:p>
    <w:p w:rsidR="00736D0B" w:rsidRDefault="00736D0B" w:rsidP="00FF51F7">
      <w:pPr>
        <w:spacing w:after="0"/>
        <w:rPr>
          <w:rFonts w:ascii="Times New Roman" w:hAnsi="Times New Roman" w:cs="Times New Roman"/>
          <w:sz w:val="24"/>
          <w:szCs w:val="24"/>
        </w:rPr>
      </w:pPr>
    </w:p>
    <w:p w:rsidR="00736D0B" w:rsidRPr="00736D0B" w:rsidRDefault="00736D0B" w:rsidP="00FF51F7">
      <w:pPr>
        <w:spacing w:after="0"/>
        <w:rPr>
          <w:rFonts w:ascii="Times New Roman" w:hAnsi="Times New Roman" w:cs="Times New Roman"/>
          <w:sz w:val="24"/>
          <w:szCs w:val="24"/>
        </w:rPr>
      </w:pPr>
      <w:r>
        <w:rPr>
          <w:rFonts w:ascii="Times New Roman" w:hAnsi="Times New Roman" w:cs="Times New Roman"/>
          <w:sz w:val="24"/>
          <w:szCs w:val="24"/>
        </w:rPr>
        <w:t xml:space="preserve">My final question is for your good selves. I have probably gone as far with this research as </w:t>
      </w:r>
      <w:r w:rsidR="00156BBA">
        <w:rPr>
          <w:rFonts w:ascii="Times New Roman" w:hAnsi="Times New Roman" w:cs="Times New Roman"/>
          <w:sz w:val="24"/>
          <w:szCs w:val="24"/>
        </w:rPr>
        <w:t>I</w:t>
      </w:r>
      <w:r>
        <w:rPr>
          <w:rFonts w:ascii="Times New Roman" w:hAnsi="Times New Roman" w:cs="Times New Roman"/>
          <w:sz w:val="24"/>
          <w:szCs w:val="24"/>
        </w:rPr>
        <w:t xml:space="preserve"> can without embarking on a full PhD. However</w:t>
      </w:r>
      <w:r w:rsidR="00156BBA">
        <w:rPr>
          <w:rFonts w:ascii="Times New Roman" w:hAnsi="Times New Roman" w:cs="Times New Roman"/>
          <w:sz w:val="24"/>
          <w:szCs w:val="24"/>
        </w:rPr>
        <w:t xml:space="preserve">, </w:t>
      </w:r>
      <w:r>
        <w:rPr>
          <w:rFonts w:ascii="Times New Roman" w:hAnsi="Times New Roman" w:cs="Times New Roman"/>
          <w:sz w:val="24"/>
          <w:szCs w:val="24"/>
        </w:rPr>
        <w:t xml:space="preserve">I would like to do some work in a more local surrey context building on this work, and am open to suggestions as to how I might do this. </w:t>
      </w:r>
    </w:p>
    <w:sectPr w:rsidR="00736D0B" w:rsidRPr="00736D0B" w:rsidSect="00DB3A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4F" w:rsidRDefault="002D724F" w:rsidP="00FF51F7">
      <w:pPr>
        <w:spacing w:after="0" w:line="240" w:lineRule="auto"/>
      </w:pPr>
      <w:r>
        <w:separator/>
      </w:r>
    </w:p>
  </w:endnote>
  <w:endnote w:type="continuationSeparator" w:id="0">
    <w:p w:rsidR="002D724F" w:rsidRDefault="002D724F" w:rsidP="00FF5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4F" w:rsidRDefault="002D724F" w:rsidP="00FF51F7">
      <w:pPr>
        <w:spacing w:after="0" w:line="240" w:lineRule="auto"/>
      </w:pPr>
      <w:r>
        <w:separator/>
      </w:r>
    </w:p>
  </w:footnote>
  <w:footnote w:type="continuationSeparator" w:id="0">
    <w:p w:rsidR="002D724F" w:rsidRDefault="002D724F" w:rsidP="00FF51F7">
      <w:pPr>
        <w:spacing w:after="0" w:line="240" w:lineRule="auto"/>
      </w:pPr>
      <w:r>
        <w:continuationSeparator/>
      </w:r>
    </w:p>
  </w:footnote>
  <w:footnote w:id="1">
    <w:p w:rsidR="00517A1D" w:rsidRPr="00692DD3" w:rsidRDefault="00517A1D" w:rsidP="00FF51F7">
      <w:pPr>
        <w:spacing w:after="0"/>
        <w:rPr>
          <w:rFonts w:ascii="Times New Roman" w:hAnsi="Times New Roman"/>
          <w:sz w:val="20"/>
          <w:szCs w:val="20"/>
        </w:rPr>
      </w:pPr>
      <w:r w:rsidRPr="00692DD3">
        <w:rPr>
          <w:rStyle w:val="FootnoteReference"/>
          <w:rFonts w:ascii="Times New Roman" w:hAnsi="Times New Roman"/>
          <w:sz w:val="20"/>
          <w:szCs w:val="20"/>
        </w:rPr>
        <w:footnoteRef/>
      </w:r>
      <w:r w:rsidRPr="00692DD3">
        <w:rPr>
          <w:rFonts w:ascii="Times New Roman" w:hAnsi="Times New Roman"/>
          <w:sz w:val="20"/>
          <w:szCs w:val="20"/>
        </w:rPr>
        <w:t xml:space="preserve"> We know Matilda of </w:t>
      </w:r>
      <w:proofErr w:type="spellStart"/>
      <w:r w:rsidRPr="00692DD3">
        <w:rPr>
          <w:rFonts w:ascii="Times New Roman" w:hAnsi="Times New Roman"/>
          <w:sz w:val="20"/>
          <w:szCs w:val="20"/>
        </w:rPr>
        <w:t>Ramsbury’s</w:t>
      </w:r>
      <w:proofErr w:type="spellEnd"/>
      <w:r w:rsidRPr="00692DD3">
        <w:rPr>
          <w:rFonts w:ascii="Times New Roman" w:hAnsi="Times New Roman"/>
          <w:sz w:val="20"/>
          <w:szCs w:val="20"/>
        </w:rPr>
        <w:t xml:space="preserve"> name largely from the accounts in </w:t>
      </w:r>
      <w:proofErr w:type="spellStart"/>
      <w:r w:rsidRPr="00692DD3">
        <w:rPr>
          <w:rFonts w:ascii="Times New Roman" w:hAnsi="Times New Roman"/>
          <w:sz w:val="20"/>
          <w:szCs w:val="20"/>
        </w:rPr>
        <w:t>Oderic</w:t>
      </w:r>
      <w:proofErr w:type="spellEnd"/>
      <w:r w:rsidRPr="00692DD3">
        <w:rPr>
          <w:rFonts w:ascii="Times New Roman" w:hAnsi="Times New Roman"/>
          <w:sz w:val="20"/>
          <w:szCs w:val="20"/>
        </w:rPr>
        <w:t xml:space="preserve"> </w:t>
      </w:r>
      <w:proofErr w:type="spellStart"/>
      <w:r w:rsidRPr="00692DD3">
        <w:rPr>
          <w:rFonts w:ascii="Times New Roman" w:hAnsi="Times New Roman"/>
          <w:sz w:val="20"/>
          <w:szCs w:val="20"/>
        </w:rPr>
        <w:t>Vitalis</w:t>
      </w:r>
      <w:proofErr w:type="spellEnd"/>
      <w:r w:rsidRPr="00692DD3">
        <w:rPr>
          <w:rFonts w:ascii="Times New Roman" w:hAnsi="Times New Roman"/>
          <w:sz w:val="20"/>
          <w:szCs w:val="20"/>
        </w:rPr>
        <w:t xml:space="preserve"> of her defence of Roger’s castles against King Stephen and her capitulation when Stephen threatened to execute her son in front of the besieged castle walls. </w:t>
      </w:r>
      <w:proofErr w:type="gramStart"/>
      <w:r w:rsidRPr="00692DD3">
        <w:rPr>
          <w:rFonts w:ascii="Times New Roman" w:hAnsi="Times New Roman"/>
          <w:color w:val="FF0000"/>
          <w:sz w:val="20"/>
          <w:szCs w:val="20"/>
        </w:rPr>
        <w:t xml:space="preserve">OV </w:t>
      </w:r>
      <w:proofErr w:type="spellStart"/>
      <w:r w:rsidRPr="00692DD3">
        <w:rPr>
          <w:rFonts w:ascii="Times New Roman" w:hAnsi="Times New Roman"/>
          <w:color w:val="FF0000"/>
          <w:sz w:val="20"/>
          <w:szCs w:val="20"/>
        </w:rPr>
        <w:t>Vol</w:t>
      </w:r>
      <w:proofErr w:type="spellEnd"/>
      <w:r w:rsidRPr="00692DD3">
        <w:rPr>
          <w:rFonts w:ascii="Times New Roman" w:hAnsi="Times New Roman"/>
          <w:color w:val="FF0000"/>
          <w:sz w:val="20"/>
          <w:szCs w:val="20"/>
        </w:rPr>
        <w:t xml:space="preserve"> VI, Book XIII, p533.</w:t>
      </w:r>
      <w:proofErr w:type="gramEnd"/>
    </w:p>
  </w:footnote>
  <w:footnote w:id="2">
    <w:p w:rsidR="00E55532" w:rsidRDefault="00E55532" w:rsidP="00E55532">
      <w:pPr>
        <w:pStyle w:val="FootnoteText"/>
      </w:pPr>
      <w:r w:rsidRPr="006E18C2">
        <w:rPr>
          <w:rStyle w:val="FootnoteReference"/>
        </w:rPr>
        <w:footnoteRef/>
      </w:r>
      <w:r w:rsidRPr="006E18C2">
        <w:t xml:space="preserve"> </w:t>
      </w:r>
      <w:r w:rsidRPr="006E18C2">
        <w:rPr>
          <w:i/>
        </w:rPr>
        <w:t xml:space="preserve">GC Opera </w:t>
      </w:r>
      <w:proofErr w:type="spellStart"/>
      <w:r w:rsidRPr="006E18C2">
        <w:rPr>
          <w:i/>
        </w:rPr>
        <w:t>Vol</w:t>
      </w:r>
      <w:proofErr w:type="spellEnd"/>
      <w:r w:rsidRPr="006E18C2">
        <w:rPr>
          <w:i/>
        </w:rPr>
        <w:t xml:space="preserve"> IV p423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F51F7"/>
    <w:rsid w:val="00156BBA"/>
    <w:rsid w:val="002C41A4"/>
    <w:rsid w:val="002D4AD0"/>
    <w:rsid w:val="002D724F"/>
    <w:rsid w:val="002E2AF6"/>
    <w:rsid w:val="003C3460"/>
    <w:rsid w:val="00517A1D"/>
    <w:rsid w:val="00732024"/>
    <w:rsid w:val="0073603E"/>
    <w:rsid w:val="00736D0B"/>
    <w:rsid w:val="00846E4A"/>
    <w:rsid w:val="0087318A"/>
    <w:rsid w:val="00B31EC5"/>
    <w:rsid w:val="00BC45E6"/>
    <w:rsid w:val="00DB3A61"/>
    <w:rsid w:val="00E55532"/>
    <w:rsid w:val="00EB7ABF"/>
    <w:rsid w:val="00F07E44"/>
    <w:rsid w:val="00FF51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F51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51F7"/>
    <w:rPr>
      <w:rFonts w:ascii="Times New Roman" w:eastAsia="Times New Roman" w:hAnsi="Times New Roman" w:cs="Times New Roman"/>
      <w:sz w:val="20"/>
      <w:szCs w:val="20"/>
    </w:rPr>
  </w:style>
  <w:style w:type="character" w:styleId="FootnoteReference">
    <w:name w:val="footnote reference"/>
    <w:basedOn w:val="DefaultParagraphFont"/>
    <w:semiHidden/>
    <w:rsid w:val="00FF51F7"/>
    <w:rPr>
      <w:vertAlign w:val="superscript"/>
    </w:rPr>
  </w:style>
  <w:style w:type="character" w:styleId="Hyperlink">
    <w:name w:val="Hyperlink"/>
    <w:basedOn w:val="DefaultParagraphFont"/>
    <w:uiPriority w:val="99"/>
    <w:unhideWhenUsed/>
    <w:rsid w:val="00FF51F7"/>
    <w:rPr>
      <w:color w:val="0000FF"/>
      <w:u w:val="single"/>
    </w:rPr>
  </w:style>
  <w:style w:type="paragraph" w:styleId="BalloonText">
    <w:name w:val="Balloon Text"/>
    <w:basedOn w:val="Normal"/>
    <w:link w:val="BalloonTextChar"/>
    <w:uiPriority w:val="99"/>
    <w:semiHidden/>
    <w:unhideWhenUsed/>
    <w:rsid w:val="00FF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lericalcelibacy.co.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Dissertation\Tables\Graphs%20and%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Dissertation\Tables\Graphs%20and%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Dissertation\Tables\Graphs%20and%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 incontinent bishops appointed by king</a:t>
            </a:r>
          </a:p>
        </c:rich>
      </c:tx>
      <c:layout>
        <c:manualLayout>
          <c:xMode val="edge"/>
          <c:yMode val="edge"/>
          <c:x val="0.13170144356955379"/>
          <c:y val="2.3148148148148147E-2"/>
        </c:manualLayout>
      </c:layout>
    </c:title>
    <c:plotArea>
      <c:layout/>
      <c:barChart>
        <c:barDir val="bar"/>
        <c:grouping val="clustered"/>
        <c:ser>
          <c:idx val="0"/>
          <c:order val="0"/>
          <c:tx>
            <c:strRef>
              <c:f>Sheet1!$B$87</c:f>
              <c:strCache>
                <c:ptCount val="1"/>
                <c:pt idx="0">
                  <c:v>% incontinent bishops appointed</c:v>
                </c:pt>
              </c:strCache>
            </c:strRef>
          </c:tx>
          <c:cat>
            <c:strRef>
              <c:f>Sheet1!$A$88:$A$94</c:f>
              <c:strCache>
                <c:ptCount val="7"/>
                <c:pt idx="0">
                  <c:v>Edward</c:v>
                </c:pt>
                <c:pt idx="1">
                  <c:v>William I</c:v>
                </c:pt>
                <c:pt idx="2">
                  <c:v>William II</c:v>
                </c:pt>
                <c:pt idx="3">
                  <c:v>Henry I</c:v>
                </c:pt>
                <c:pt idx="4">
                  <c:v>Stephen</c:v>
                </c:pt>
                <c:pt idx="5">
                  <c:v>Henry II</c:v>
                </c:pt>
                <c:pt idx="6">
                  <c:v>Richard</c:v>
                </c:pt>
              </c:strCache>
            </c:strRef>
          </c:cat>
          <c:val>
            <c:numRef>
              <c:f>Sheet1!$B$88:$B$94</c:f>
              <c:numCache>
                <c:formatCode>General</c:formatCode>
                <c:ptCount val="7"/>
                <c:pt idx="0">
                  <c:v>20</c:v>
                </c:pt>
                <c:pt idx="1">
                  <c:v>14</c:v>
                </c:pt>
                <c:pt idx="2">
                  <c:v>30</c:v>
                </c:pt>
                <c:pt idx="3">
                  <c:v>26</c:v>
                </c:pt>
                <c:pt idx="4">
                  <c:v>20</c:v>
                </c:pt>
                <c:pt idx="5">
                  <c:v>14</c:v>
                </c:pt>
                <c:pt idx="6">
                  <c:v>0</c:v>
                </c:pt>
              </c:numCache>
            </c:numRef>
          </c:val>
        </c:ser>
        <c:gapWidth val="75"/>
        <c:overlap val="-25"/>
        <c:axId val="124127488"/>
        <c:axId val="124163968"/>
      </c:barChart>
      <c:catAx>
        <c:axId val="124127488"/>
        <c:scaling>
          <c:orientation val="minMax"/>
        </c:scaling>
        <c:axPos val="l"/>
        <c:numFmt formatCode="General" sourceLinked="1"/>
        <c:majorTickMark val="none"/>
        <c:tickLblPos val="nextTo"/>
        <c:crossAx val="124163968"/>
        <c:crosses val="autoZero"/>
        <c:auto val="1"/>
        <c:lblAlgn val="ctr"/>
        <c:lblOffset val="100"/>
      </c:catAx>
      <c:valAx>
        <c:axId val="124163968"/>
        <c:scaling>
          <c:orientation val="minMax"/>
        </c:scaling>
        <c:axPos val="b"/>
        <c:majorGridlines/>
        <c:numFmt formatCode="General" sourceLinked="1"/>
        <c:majorTickMark val="none"/>
        <c:tickLblPos val="nextTo"/>
        <c:spPr>
          <a:ln w="9525">
            <a:noFill/>
          </a:ln>
        </c:spPr>
        <c:crossAx val="1241274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Role of incontinent</a:t>
            </a:r>
            <a:r>
              <a:rPr lang="en-US" baseline="0"/>
              <a:t> bishops</a:t>
            </a:r>
            <a:endParaRPr lang="en-US"/>
          </a:p>
        </c:rich>
      </c:tx>
    </c:title>
    <c:plotArea>
      <c:layout/>
      <c:barChart>
        <c:barDir val="bar"/>
        <c:grouping val="clustered"/>
        <c:ser>
          <c:idx val="0"/>
          <c:order val="0"/>
          <c:tx>
            <c:strRef>
              <c:f>Sheet1!$B$41</c:f>
              <c:strCache>
                <c:ptCount val="1"/>
                <c:pt idx="0">
                  <c:v>% of bishops by role</c:v>
                </c:pt>
              </c:strCache>
            </c:strRef>
          </c:tx>
          <c:cat>
            <c:strRef>
              <c:f>Sheet1!$A$42:$A$45</c:f>
              <c:strCache>
                <c:ptCount val="4"/>
                <c:pt idx="0">
                  <c:v>Monk/abbot/prior</c:v>
                </c:pt>
                <c:pt idx="1">
                  <c:v>Royal servant</c:v>
                </c:pt>
                <c:pt idx="2">
                  <c:v>Church profesional</c:v>
                </c:pt>
                <c:pt idx="3">
                  <c:v>Royal relative</c:v>
                </c:pt>
              </c:strCache>
            </c:strRef>
          </c:cat>
          <c:val>
            <c:numRef>
              <c:f>Sheet1!$B$42:$B$45</c:f>
              <c:numCache>
                <c:formatCode>General</c:formatCode>
                <c:ptCount val="4"/>
                <c:pt idx="0">
                  <c:v>8</c:v>
                </c:pt>
                <c:pt idx="1">
                  <c:v>77</c:v>
                </c:pt>
                <c:pt idx="2">
                  <c:v>12</c:v>
                </c:pt>
                <c:pt idx="3">
                  <c:v>4</c:v>
                </c:pt>
              </c:numCache>
            </c:numRef>
          </c:val>
        </c:ser>
        <c:gapWidth val="75"/>
        <c:overlap val="-25"/>
        <c:axId val="82990208"/>
        <c:axId val="82991744"/>
      </c:barChart>
      <c:catAx>
        <c:axId val="82990208"/>
        <c:scaling>
          <c:orientation val="minMax"/>
        </c:scaling>
        <c:axPos val="l"/>
        <c:majorTickMark val="none"/>
        <c:tickLblPos val="nextTo"/>
        <c:crossAx val="82991744"/>
        <c:crosses val="autoZero"/>
        <c:auto val="1"/>
        <c:lblAlgn val="ctr"/>
        <c:lblOffset val="100"/>
      </c:catAx>
      <c:valAx>
        <c:axId val="82991744"/>
        <c:scaling>
          <c:orientation val="minMax"/>
        </c:scaling>
        <c:axPos val="b"/>
        <c:majorGridlines/>
        <c:numFmt formatCode="General" sourceLinked="1"/>
        <c:majorTickMark val="none"/>
        <c:tickLblPos val="nextTo"/>
        <c:spPr>
          <a:ln w="9525">
            <a:noFill/>
          </a:ln>
        </c:spPr>
        <c:crossAx val="829902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Incontinent bishops and canons 1070-1195</a:t>
            </a:r>
          </a:p>
        </c:rich>
      </c:tx>
    </c:title>
    <c:plotArea>
      <c:layout/>
      <c:lineChart>
        <c:grouping val="standard"/>
        <c:ser>
          <c:idx val="0"/>
          <c:order val="0"/>
          <c:tx>
            <c:strRef>
              <c:f>Sheet1!$A$2</c:f>
              <c:strCache>
                <c:ptCount val="1"/>
                <c:pt idx="0">
                  <c:v>Incontinent bishops (%)</c:v>
                </c:pt>
              </c:strCache>
            </c:strRef>
          </c:tx>
          <c:cat>
            <c:strRef>
              <c:f>Sheet1!$B$1:$F$1</c:f>
              <c:strCache>
                <c:ptCount val="5"/>
                <c:pt idx="0">
                  <c:v>1070-1095</c:v>
                </c:pt>
                <c:pt idx="1">
                  <c:v>1096-1120</c:v>
                </c:pt>
                <c:pt idx="2">
                  <c:v>1121-1145</c:v>
                </c:pt>
                <c:pt idx="3">
                  <c:v>1146-1170</c:v>
                </c:pt>
                <c:pt idx="4">
                  <c:v>1171-1195</c:v>
                </c:pt>
              </c:strCache>
            </c:strRef>
          </c:cat>
          <c:val>
            <c:numRef>
              <c:f>Sheet1!$B$2:$F$2</c:f>
              <c:numCache>
                <c:formatCode>General</c:formatCode>
                <c:ptCount val="5"/>
                <c:pt idx="0">
                  <c:v>24</c:v>
                </c:pt>
                <c:pt idx="1">
                  <c:v>28</c:v>
                </c:pt>
                <c:pt idx="2">
                  <c:v>33</c:v>
                </c:pt>
                <c:pt idx="3">
                  <c:v>14</c:v>
                </c:pt>
                <c:pt idx="4">
                  <c:v>17</c:v>
                </c:pt>
              </c:numCache>
            </c:numRef>
          </c:val>
        </c:ser>
        <c:ser>
          <c:idx val="1"/>
          <c:order val="1"/>
          <c:tx>
            <c:strRef>
              <c:f>Sheet1!$A$3</c:f>
              <c:strCache>
                <c:ptCount val="1"/>
                <c:pt idx="0">
                  <c:v>Incontinent canons</c:v>
                </c:pt>
              </c:strCache>
            </c:strRef>
          </c:tx>
          <c:cat>
            <c:strRef>
              <c:f>Sheet1!$B$1:$F$1</c:f>
              <c:strCache>
                <c:ptCount val="5"/>
                <c:pt idx="0">
                  <c:v>1070-1095</c:v>
                </c:pt>
                <c:pt idx="1">
                  <c:v>1096-1120</c:v>
                </c:pt>
                <c:pt idx="2">
                  <c:v>1121-1145</c:v>
                </c:pt>
                <c:pt idx="3">
                  <c:v>1146-1170</c:v>
                </c:pt>
                <c:pt idx="4">
                  <c:v>1171-1195</c:v>
                </c:pt>
              </c:strCache>
            </c:strRef>
          </c:cat>
          <c:val>
            <c:numRef>
              <c:f>Sheet1!$B$3:$F$3</c:f>
              <c:numCache>
                <c:formatCode>General</c:formatCode>
                <c:ptCount val="5"/>
                <c:pt idx="0">
                  <c:v>9</c:v>
                </c:pt>
                <c:pt idx="1">
                  <c:v>16</c:v>
                </c:pt>
                <c:pt idx="2">
                  <c:v>20</c:v>
                </c:pt>
                <c:pt idx="3">
                  <c:v>13</c:v>
                </c:pt>
                <c:pt idx="4">
                  <c:v>16</c:v>
                </c:pt>
              </c:numCache>
            </c:numRef>
          </c:val>
        </c:ser>
        <c:ser>
          <c:idx val="2"/>
          <c:order val="2"/>
          <c:tx>
            <c:strRef>
              <c:f>Sheet1!$A$4</c:f>
              <c:strCache>
                <c:ptCount val="1"/>
                <c:pt idx="0">
                  <c:v>Councils</c:v>
                </c:pt>
              </c:strCache>
            </c:strRef>
          </c:tx>
          <c:cat>
            <c:strRef>
              <c:f>Sheet1!$B$1:$F$1</c:f>
              <c:strCache>
                <c:ptCount val="5"/>
                <c:pt idx="0">
                  <c:v>1070-1095</c:v>
                </c:pt>
                <c:pt idx="1">
                  <c:v>1096-1120</c:v>
                </c:pt>
                <c:pt idx="2">
                  <c:v>1121-1145</c:v>
                </c:pt>
                <c:pt idx="3">
                  <c:v>1146-1170</c:v>
                </c:pt>
                <c:pt idx="4">
                  <c:v>1171-1195</c:v>
                </c:pt>
              </c:strCache>
            </c:strRef>
          </c:cat>
          <c:val>
            <c:numRef>
              <c:f>Sheet1!$B$4:$F$4</c:f>
              <c:numCache>
                <c:formatCode>General</c:formatCode>
                <c:ptCount val="5"/>
                <c:pt idx="0">
                  <c:v>1</c:v>
                </c:pt>
                <c:pt idx="1">
                  <c:v>2</c:v>
                </c:pt>
                <c:pt idx="2">
                  <c:v>5</c:v>
                </c:pt>
                <c:pt idx="3">
                  <c:v>0</c:v>
                </c:pt>
                <c:pt idx="4">
                  <c:v>1</c:v>
                </c:pt>
              </c:numCache>
            </c:numRef>
          </c:val>
        </c:ser>
        <c:marker val="1"/>
        <c:axId val="83012992"/>
        <c:axId val="83018880"/>
      </c:lineChart>
      <c:catAx>
        <c:axId val="83012992"/>
        <c:scaling>
          <c:orientation val="minMax"/>
        </c:scaling>
        <c:axPos val="b"/>
        <c:numFmt formatCode="General" sourceLinked="1"/>
        <c:majorTickMark val="none"/>
        <c:tickLblPos val="nextTo"/>
        <c:crossAx val="83018880"/>
        <c:crosses val="autoZero"/>
        <c:auto val="1"/>
        <c:lblAlgn val="ctr"/>
        <c:lblOffset val="100"/>
      </c:catAx>
      <c:valAx>
        <c:axId val="83018880"/>
        <c:scaling>
          <c:orientation val="minMax"/>
        </c:scaling>
        <c:axPos val="l"/>
        <c:majorGridlines/>
        <c:numFmt formatCode="General" sourceLinked="1"/>
        <c:majorTickMark val="none"/>
        <c:tickLblPos val="nextTo"/>
        <c:crossAx val="830129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Creese</dc:creator>
  <cp:lastModifiedBy>Creese</cp:lastModifiedBy>
  <cp:revision>2</cp:revision>
  <dcterms:created xsi:type="dcterms:W3CDTF">2011-12-02T08:45:00Z</dcterms:created>
  <dcterms:modified xsi:type="dcterms:W3CDTF">2011-12-02T08:45:00Z</dcterms:modified>
</cp:coreProperties>
</file>